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342F7C" w14:textId="77777777" w:rsidR="006C70E8" w:rsidRPr="000867E2" w:rsidRDefault="006C70E8" w:rsidP="000962D2">
      <w:pPr>
        <w:pStyle w:val="NoSpacing"/>
        <w:jc w:val="both"/>
        <w:rPr>
          <w:rFonts w:ascii="Arial" w:hAnsi="Arial" w:cs="Arial"/>
          <w:sz w:val="20"/>
          <w:szCs w:val="20"/>
          <w:lang w:val="en-US"/>
        </w:rPr>
      </w:pPr>
    </w:p>
    <w:p w14:paraId="260E6185" w14:textId="77777777" w:rsidR="006C70E8" w:rsidRPr="000867E2" w:rsidRDefault="006C70E8" w:rsidP="000962D2">
      <w:pPr>
        <w:pStyle w:val="NoSpacing"/>
        <w:jc w:val="both"/>
        <w:rPr>
          <w:rFonts w:ascii="Arial" w:hAnsi="Arial" w:cs="Arial"/>
          <w:sz w:val="20"/>
          <w:szCs w:val="20"/>
          <w:lang w:val="en-US"/>
        </w:rPr>
      </w:pPr>
    </w:p>
    <w:p w14:paraId="10BFEB02" w14:textId="58AC313F" w:rsidR="006C70E8" w:rsidRPr="000867E2" w:rsidRDefault="00447155" w:rsidP="000962D2">
      <w:pPr>
        <w:pStyle w:val="NoSpacing"/>
        <w:jc w:val="both"/>
        <w:rPr>
          <w:rFonts w:ascii="Arial" w:hAnsi="Arial" w:cs="Arial"/>
          <w:sz w:val="20"/>
          <w:szCs w:val="20"/>
          <w:lang w:val="en-US"/>
        </w:rPr>
      </w:pPr>
      <w:r>
        <w:rPr>
          <w:rFonts w:ascii="Arial" w:hAnsi="Arial" w:cs="Arial"/>
          <w:sz w:val="20"/>
          <w:szCs w:val="20"/>
          <w:lang w:val="en-US"/>
        </w:rPr>
        <w:t>1 June</w:t>
      </w:r>
      <w:r w:rsidR="006C70E8" w:rsidRPr="000867E2">
        <w:rPr>
          <w:rFonts w:ascii="Arial" w:hAnsi="Arial" w:cs="Arial"/>
          <w:sz w:val="20"/>
          <w:szCs w:val="20"/>
          <w:lang w:val="en-US"/>
        </w:rPr>
        <w:t xml:space="preserve"> 202</w:t>
      </w:r>
      <w:r w:rsidR="00F1492C">
        <w:rPr>
          <w:rFonts w:ascii="Arial" w:hAnsi="Arial" w:cs="Arial"/>
          <w:sz w:val="20"/>
          <w:szCs w:val="20"/>
          <w:lang w:val="en-US"/>
        </w:rPr>
        <w:t>1</w:t>
      </w:r>
      <w:bookmarkStart w:id="0" w:name="_GoBack"/>
      <w:bookmarkEnd w:id="0"/>
    </w:p>
    <w:p w14:paraId="2DA76E57" w14:textId="77777777" w:rsidR="006C70E8" w:rsidRPr="000867E2" w:rsidRDefault="006C70E8" w:rsidP="000962D2">
      <w:pPr>
        <w:pStyle w:val="NoSpacing"/>
        <w:jc w:val="both"/>
        <w:rPr>
          <w:rFonts w:ascii="Arial" w:hAnsi="Arial" w:cs="Arial"/>
          <w:sz w:val="20"/>
          <w:szCs w:val="20"/>
        </w:rPr>
      </w:pPr>
    </w:p>
    <w:p w14:paraId="0B40C571" w14:textId="77777777" w:rsidR="006C70E8" w:rsidRPr="000867E2" w:rsidRDefault="006C70E8" w:rsidP="000962D2">
      <w:pPr>
        <w:pStyle w:val="NoSpacing"/>
        <w:jc w:val="both"/>
        <w:rPr>
          <w:rFonts w:ascii="Arial" w:hAnsi="Arial" w:cs="Arial"/>
          <w:sz w:val="20"/>
          <w:szCs w:val="20"/>
        </w:rPr>
      </w:pPr>
    </w:p>
    <w:p w14:paraId="4EE33E9E" w14:textId="77777777" w:rsidR="006C70E8" w:rsidRPr="000867E2" w:rsidRDefault="006C70E8" w:rsidP="000962D2">
      <w:pPr>
        <w:pStyle w:val="NoSpacing"/>
        <w:jc w:val="both"/>
        <w:rPr>
          <w:rFonts w:ascii="Arial" w:hAnsi="Arial" w:cs="Arial"/>
          <w:sz w:val="20"/>
          <w:szCs w:val="20"/>
        </w:rPr>
      </w:pPr>
    </w:p>
    <w:p w14:paraId="4BD8C343" w14:textId="77777777" w:rsidR="00987B64" w:rsidRPr="000867E2" w:rsidRDefault="00987B64" w:rsidP="000962D2">
      <w:pPr>
        <w:pStyle w:val="NoSpacing"/>
        <w:jc w:val="both"/>
        <w:rPr>
          <w:rFonts w:ascii="Arial" w:hAnsi="Arial" w:cs="Arial"/>
          <w:sz w:val="20"/>
          <w:szCs w:val="20"/>
        </w:rPr>
      </w:pPr>
      <w:r w:rsidRPr="000867E2">
        <w:rPr>
          <w:rFonts w:ascii="Arial" w:hAnsi="Arial" w:cs="Arial"/>
          <w:sz w:val="20"/>
          <w:szCs w:val="20"/>
        </w:rPr>
        <w:t>Market Conduct Division</w:t>
      </w:r>
    </w:p>
    <w:p w14:paraId="55C7C30C" w14:textId="77777777" w:rsidR="00987B64" w:rsidRPr="000867E2" w:rsidRDefault="00987B64" w:rsidP="000962D2">
      <w:pPr>
        <w:pStyle w:val="NoSpacing"/>
        <w:jc w:val="both"/>
        <w:rPr>
          <w:rFonts w:ascii="Arial" w:hAnsi="Arial" w:cs="Arial"/>
          <w:sz w:val="20"/>
          <w:szCs w:val="20"/>
        </w:rPr>
      </w:pPr>
      <w:r w:rsidRPr="000867E2">
        <w:rPr>
          <w:rFonts w:ascii="Arial" w:hAnsi="Arial" w:cs="Arial"/>
          <w:sz w:val="20"/>
          <w:szCs w:val="20"/>
        </w:rPr>
        <w:t>The Treasury</w:t>
      </w:r>
    </w:p>
    <w:p w14:paraId="6B9277CD" w14:textId="77777777" w:rsidR="00987B64" w:rsidRPr="000867E2" w:rsidRDefault="00987B64" w:rsidP="000962D2">
      <w:pPr>
        <w:pStyle w:val="NoSpacing"/>
        <w:jc w:val="both"/>
        <w:rPr>
          <w:rFonts w:ascii="Arial" w:hAnsi="Arial" w:cs="Arial"/>
          <w:sz w:val="20"/>
          <w:szCs w:val="20"/>
        </w:rPr>
      </w:pPr>
      <w:r w:rsidRPr="000867E2">
        <w:rPr>
          <w:rFonts w:ascii="Arial" w:hAnsi="Arial" w:cs="Arial"/>
          <w:sz w:val="20"/>
          <w:szCs w:val="20"/>
        </w:rPr>
        <w:t>Langton Crescent</w:t>
      </w:r>
    </w:p>
    <w:p w14:paraId="6D0AE882" w14:textId="77777777" w:rsidR="00987B64" w:rsidRPr="000867E2" w:rsidRDefault="00987B64" w:rsidP="000962D2">
      <w:pPr>
        <w:pStyle w:val="NoSpacing"/>
        <w:jc w:val="both"/>
        <w:rPr>
          <w:rFonts w:ascii="Arial" w:hAnsi="Arial" w:cs="Arial"/>
          <w:sz w:val="20"/>
          <w:szCs w:val="20"/>
        </w:rPr>
      </w:pPr>
      <w:r w:rsidRPr="000867E2">
        <w:rPr>
          <w:rFonts w:ascii="Arial" w:hAnsi="Arial" w:cs="Arial"/>
          <w:sz w:val="20"/>
          <w:szCs w:val="20"/>
        </w:rPr>
        <w:t>PARKES ACT 2600</w:t>
      </w:r>
    </w:p>
    <w:p w14:paraId="6A7F2B6B" w14:textId="77777777" w:rsidR="00987B64" w:rsidRPr="000867E2" w:rsidRDefault="00987B64" w:rsidP="000962D2">
      <w:pPr>
        <w:pStyle w:val="NoSpacing"/>
        <w:jc w:val="both"/>
        <w:rPr>
          <w:rFonts w:ascii="Arial" w:hAnsi="Arial" w:cs="Arial"/>
          <w:sz w:val="20"/>
          <w:szCs w:val="20"/>
        </w:rPr>
      </w:pPr>
    </w:p>
    <w:p w14:paraId="5511A60B" w14:textId="77777777" w:rsidR="00987B64" w:rsidRPr="000867E2" w:rsidRDefault="00987B64" w:rsidP="000962D2">
      <w:pPr>
        <w:pStyle w:val="NoSpacing"/>
        <w:jc w:val="both"/>
        <w:rPr>
          <w:rFonts w:ascii="Arial" w:hAnsi="Arial" w:cs="Arial"/>
          <w:sz w:val="20"/>
          <w:szCs w:val="20"/>
        </w:rPr>
      </w:pPr>
    </w:p>
    <w:p w14:paraId="3DAAE078" w14:textId="1B8D3739" w:rsidR="006C70E8" w:rsidRPr="000867E2" w:rsidRDefault="00987B64" w:rsidP="000962D2">
      <w:pPr>
        <w:pStyle w:val="NoSpacing"/>
        <w:jc w:val="both"/>
        <w:rPr>
          <w:rFonts w:ascii="Arial" w:hAnsi="Arial" w:cs="Arial"/>
          <w:sz w:val="20"/>
          <w:szCs w:val="20"/>
        </w:rPr>
      </w:pPr>
      <w:r w:rsidRPr="000867E2">
        <w:rPr>
          <w:rFonts w:ascii="Arial" w:hAnsi="Arial" w:cs="Arial"/>
          <w:sz w:val="20"/>
          <w:szCs w:val="20"/>
        </w:rPr>
        <w:t xml:space="preserve">Email: </w:t>
      </w:r>
      <w:hyperlink r:id="rId8" w:history="1">
        <w:r w:rsidRPr="000867E2">
          <w:rPr>
            <w:rStyle w:val="Hyperlink"/>
            <w:rFonts w:ascii="Arial" w:hAnsi="Arial" w:cs="Arial"/>
            <w:sz w:val="20"/>
            <w:szCs w:val="20"/>
          </w:rPr>
          <w:t>MCDproxyadvice@treasury.gov.au</w:t>
        </w:r>
      </w:hyperlink>
      <w:r w:rsidRPr="000867E2">
        <w:rPr>
          <w:rFonts w:ascii="Arial" w:hAnsi="Arial" w:cs="Arial"/>
          <w:sz w:val="20"/>
          <w:szCs w:val="20"/>
        </w:rPr>
        <w:t xml:space="preserve"> </w:t>
      </w:r>
    </w:p>
    <w:p w14:paraId="138C5835" w14:textId="0A209C35" w:rsidR="00987B64" w:rsidRPr="000867E2" w:rsidRDefault="00987B64" w:rsidP="000962D2">
      <w:pPr>
        <w:pStyle w:val="NoSpacing"/>
        <w:jc w:val="both"/>
        <w:rPr>
          <w:rFonts w:ascii="Arial" w:hAnsi="Arial" w:cs="Arial"/>
          <w:sz w:val="20"/>
          <w:szCs w:val="20"/>
        </w:rPr>
      </w:pPr>
    </w:p>
    <w:p w14:paraId="5F723163" w14:textId="77777777" w:rsidR="006C70E8" w:rsidRPr="000867E2" w:rsidRDefault="006C70E8" w:rsidP="000962D2">
      <w:pPr>
        <w:pStyle w:val="NoSpacing"/>
        <w:jc w:val="both"/>
        <w:rPr>
          <w:rFonts w:ascii="Arial" w:hAnsi="Arial" w:cs="Arial"/>
          <w:sz w:val="20"/>
          <w:szCs w:val="20"/>
        </w:rPr>
      </w:pPr>
    </w:p>
    <w:p w14:paraId="3ADD7BFB" w14:textId="77777777" w:rsidR="006C70E8" w:rsidRPr="000867E2" w:rsidRDefault="006C70E8" w:rsidP="000962D2">
      <w:pPr>
        <w:pStyle w:val="NoSpacing"/>
        <w:jc w:val="both"/>
        <w:rPr>
          <w:rFonts w:ascii="Arial" w:hAnsi="Arial" w:cs="Arial"/>
          <w:b/>
          <w:bCs/>
          <w:sz w:val="20"/>
          <w:szCs w:val="20"/>
        </w:rPr>
      </w:pPr>
    </w:p>
    <w:p w14:paraId="46B67733" w14:textId="757EADD0" w:rsidR="00987B64" w:rsidRPr="000867E2" w:rsidRDefault="006C70E8" w:rsidP="000962D2">
      <w:pPr>
        <w:pStyle w:val="NoSpacing"/>
        <w:jc w:val="both"/>
        <w:rPr>
          <w:rFonts w:ascii="Arial" w:hAnsi="Arial" w:cs="Arial"/>
          <w:b/>
          <w:bCs/>
          <w:sz w:val="20"/>
          <w:szCs w:val="20"/>
          <w:lang w:val="en-US"/>
        </w:rPr>
      </w:pPr>
      <w:r w:rsidRPr="000867E2">
        <w:rPr>
          <w:rFonts w:ascii="Arial" w:hAnsi="Arial" w:cs="Arial"/>
          <w:b/>
          <w:bCs/>
          <w:sz w:val="20"/>
          <w:szCs w:val="20"/>
          <w:lang w:val="en-US"/>
        </w:rPr>
        <w:t xml:space="preserve">Submission to </w:t>
      </w:r>
      <w:r w:rsidR="00987B64" w:rsidRPr="000867E2">
        <w:rPr>
          <w:rFonts w:ascii="Arial" w:hAnsi="Arial" w:cs="Arial"/>
          <w:b/>
          <w:bCs/>
          <w:sz w:val="20"/>
          <w:szCs w:val="20"/>
          <w:lang w:val="en-US"/>
        </w:rPr>
        <w:t>Treasury Consultation Paper on Greater Transparency of Proxy Advice</w:t>
      </w:r>
    </w:p>
    <w:p w14:paraId="3947B5D5" w14:textId="64876E60" w:rsidR="003635DB" w:rsidRPr="000867E2" w:rsidRDefault="003635DB" w:rsidP="000962D2">
      <w:pPr>
        <w:pStyle w:val="NoSpacing"/>
        <w:jc w:val="both"/>
        <w:rPr>
          <w:rFonts w:ascii="Arial" w:hAnsi="Arial" w:cs="Arial"/>
          <w:sz w:val="20"/>
          <w:szCs w:val="20"/>
        </w:rPr>
      </w:pPr>
      <w:bookmarkStart w:id="1" w:name="_Hlk72829441"/>
    </w:p>
    <w:p w14:paraId="3AA251CF" w14:textId="0029527C" w:rsidR="003635DB" w:rsidRPr="000867E2" w:rsidRDefault="003635DB" w:rsidP="000962D2">
      <w:pPr>
        <w:pStyle w:val="NoSpacing"/>
        <w:jc w:val="both"/>
        <w:rPr>
          <w:rFonts w:ascii="Arial" w:hAnsi="Arial" w:cs="Arial"/>
          <w:sz w:val="20"/>
          <w:szCs w:val="20"/>
        </w:rPr>
      </w:pPr>
    </w:p>
    <w:p w14:paraId="3D9D5557" w14:textId="4A2AF268" w:rsidR="003635DB" w:rsidRPr="000867E2" w:rsidRDefault="003635DB" w:rsidP="000867E2">
      <w:pPr>
        <w:rPr>
          <w:rFonts w:ascii="Arial" w:hAnsi="Arial" w:cs="Arial"/>
          <w:sz w:val="20"/>
          <w:szCs w:val="20"/>
        </w:rPr>
      </w:pPr>
      <w:r w:rsidRPr="000867E2">
        <w:rPr>
          <w:rFonts w:ascii="Arial" w:hAnsi="Arial" w:cs="Arial"/>
          <w:sz w:val="20"/>
          <w:szCs w:val="20"/>
        </w:rPr>
        <w:t xml:space="preserve">Dear Treasury </w:t>
      </w:r>
    </w:p>
    <w:p w14:paraId="42B75660" w14:textId="26E85918" w:rsidR="00987B64" w:rsidRPr="000867E2" w:rsidRDefault="00987B64" w:rsidP="000867E2">
      <w:pPr>
        <w:rPr>
          <w:rFonts w:ascii="Arial" w:hAnsi="Arial" w:cs="Arial"/>
          <w:sz w:val="20"/>
          <w:szCs w:val="20"/>
        </w:rPr>
      </w:pPr>
      <w:r w:rsidRPr="000867E2">
        <w:rPr>
          <w:rFonts w:ascii="Arial" w:hAnsi="Arial" w:cs="Arial"/>
          <w:sz w:val="20"/>
          <w:szCs w:val="20"/>
        </w:rPr>
        <w:t xml:space="preserve">Thank you for the opportunity to </w:t>
      </w:r>
      <w:r w:rsidR="003635DB" w:rsidRPr="000867E2">
        <w:rPr>
          <w:rFonts w:ascii="Arial" w:hAnsi="Arial" w:cs="Arial"/>
          <w:sz w:val="20"/>
          <w:szCs w:val="20"/>
        </w:rPr>
        <w:t>provide this submission to the</w:t>
      </w:r>
      <w:r w:rsidRPr="000867E2">
        <w:rPr>
          <w:rFonts w:ascii="Arial" w:hAnsi="Arial" w:cs="Arial"/>
          <w:sz w:val="20"/>
          <w:szCs w:val="20"/>
        </w:rPr>
        <w:t xml:space="preserve"> Consultation Paper on </w:t>
      </w:r>
      <w:r w:rsidRPr="000867E2">
        <w:rPr>
          <w:rFonts w:ascii="Arial" w:hAnsi="Arial" w:cs="Arial"/>
          <w:i/>
          <w:iCs/>
          <w:sz w:val="20"/>
          <w:szCs w:val="20"/>
        </w:rPr>
        <w:t>Greater Transparency of Proxy Advice</w:t>
      </w:r>
      <w:r w:rsidR="000962D2" w:rsidRPr="000867E2">
        <w:rPr>
          <w:rFonts w:ascii="Arial" w:hAnsi="Arial" w:cs="Arial"/>
          <w:i/>
          <w:iCs/>
          <w:sz w:val="20"/>
          <w:szCs w:val="20"/>
        </w:rPr>
        <w:t xml:space="preserve"> </w:t>
      </w:r>
      <w:r w:rsidR="000962D2" w:rsidRPr="000867E2">
        <w:rPr>
          <w:rFonts w:ascii="Arial" w:hAnsi="Arial" w:cs="Arial"/>
          <w:sz w:val="20"/>
          <w:szCs w:val="20"/>
        </w:rPr>
        <w:t>(Consultation Paper).</w:t>
      </w:r>
      <w:r w:rsidR="00681CCA" w:rsidRPr="000867E2">
        <w:rPr>
          <w:rFonts w:ascii="Arial" w:hAnsi="Arial" w:cs="Arial"/>
          <w:sz w:val="20"/>
          <w:szCs w:val="20"/>
        </w:rPr>
        <w:t xml:space="preserve"> </w:t>
      </w:r>
    </w:p>
    <w:p w14:paraId="6573EF81" w14:textId="04D97EF6" w:rsidR="00987B64" w:rsidRPr="000867E2" w:rsidRDefault="00987B64" w:rsidP="000867E2">
      <w:pPr>
        <w:rPr>
          <w:rFonts w:ascii="Arial" w:hAnsi="Arial" w:cs="Arial"/>
          <w:b/>
          <w:bCs/>
          <w:color w:val="A50021"/>
          <w:sz w:val="20"/>
          <w:szCs w:val="20"/>
        </w:rPr>
      </w:pPr>
      <w:r w:rsidRPr="000867E2">
        <w:rPr>
          <w:rFonts w:ascii="Arial" w:hAnsi="Arial" w:cs="Arial"/>
          <w:b/>
          <w:bCs/>
          <w:color w:val="A50021"/>
          <w:sz w:val="20"/>
          <w:szCs w:val="20"/>
        </w:rPr>
        <w:t xml:space="preserve">About the Australasian Investor Relations Association </w:t>
      </w:r>
    </w:p>
    <w:p w14:paraId="4E9B0370" w14:textId="1A2C0206" w:rsidR="002B6D28" w:rsidRDefault="00987B64" w:rsidP="000867E2">
      <w:pPr>
        <w:rPr>
          <w:rFonts w:ascii="Arial" w:hAnsi="Arial" w:cs="Arial"/>
          <w:sz w:val="20"/>
          <w:szCs w:val="20"/>
        </w:rPr>
      </w:pPr>
      <w:r w:rsidRPr="000867E2">
        <w:rPr>
          <w:rFonts w:ascii="Arial" w:hAnsi="Arial" w:cs="Arial"/>
          <w:sz w:val="20"/>
          <w:szCs w:val="20"/>
        </w:rPr>
        <w:t xml:space="preserve">The Australasian Investor Relations Association (AIRA) </w:t>
      </w:r>
      <w:r w:rsidR="00095B5A" w:rsidRPr="000867E2">
        <w:rPr>
          <w:rFonts w:ascii="Arial" w:hAnsi="Arial" w:cs="Arial"/>
          <w:sz w:val="20"/>
          <w:szCs w:val="20"/>
        </w:rPr>
        <w:t>is the peak body representing Investor Relations practitioners in Australia and New Zealand.</w:t>
      </w:r>
      <w:r w:rsidR="008D2DBF" w:rsidRPr="000867E2">
        <w:rPr>
          <w:rFonts w:ascii="Arial" w:hAnsi="Arial" w:cs="Arial"/>
          <w:sz w:val="20"/>
          <w:szCs w:val="20"/>
        </w:rPr>
        <w:t xml:space="preserve"> Our members include the majority of ASX100 companies and Australia’s leading share registries.</w:t>
      </w:r>
    </w:p>
    <w:p w14:paraId="4FBE2A30" w14:textId="02C159B4" w:rsidR="00987B64" w:rsidRPr="000867E2" w:rsidRDefault="00095B5A" w:rsidP="000867E2">
      <w:pPr>
        <w:rPr>
          <w:rFonts w:ascii="Arial" w:hAnsi="Arial" w:cs="Arial"/>
          <w:sz w:val="20"/>
          <w:szCs w:val="20"/>
        </w:rPr>
      </w:pPr>
      <w:r w:rsidRPr="000867E2">
        <w:rPr>
          <w:rFonts w:ascii="Arial" w:hAnsi="Arial" w:cs="Arial"/>
          <w:sz w:val="20"/>
          <w:szCs w:val="20"/>
        </w:rPr>
        <w:t>AIRA</w:t>
      </w:r>
      <w:r w:rsidR="003635DB" w:rsidRPr="000867E2">
        <w:rPr>
          <w:rFonts w:ascii="Arial" w:hAnsi="Arial" w:cs="Arial"/>
          <w:sz w:val="20"/>
          <w:szCs w:val="20"/>
        </w:rPr>
        <w:t xml:space="preserve"> </w:t>
      </w:r>
      <w:r w:rsidR="00987B64" w:rsidRPr="000867E2">
        <w:rPr>
          <w:rFonts w:ascii="Arial" w:hAnsi="Arial" w:cs="Arial"/>
          <w:sz w:val="20"/>
          <w:szCs w:val="20"/>
        </w:rPr>
        <w:t xml:space="preserve">exists to provide listed entities with a single voice in the public debate on corporate disclosure and to improve the skills and professionalism of members. </w:t>
      </w:r>
    </w:p>
    <w:p w14:paraId="40AF7D80" w14:textId="17077F0C" w:rsidR="009A1464" w:rsidRPr="000867E2" w:rsidRDefault="00987B64" w:rsidP="000867E2">
      <w:pPr>
        <w:rPr>
          <w:rFonts w:ascii="Arial" w:hAnsi="Arial" w:cs="Arial"/>
          <w:sz w:val="20"/>
          <w:szCs w:val="20"/>
        </w:rPr>
      </w:pPr>
      <w:r w:rsidRPr="000867E2">
        <w:rPr>
          <w:rFonts w:ascii="Arial" w:hAnsi="Arial" w:cs="Arial"/>
          <w:sz w:val="20"/>
          <w:szCs w:val="20"/>
        </w:rPr>
        <w:t>Our mission is to advance the awareness of, and best practice in, investor relations in Australasia and to achieve better outcomes for all capital market stakeholders. We drive industry</w:t>
      </w:r>
      <w:r w:rsidR="00681CCA" w:rsidRPr="000867E2">
        <w:rPr>
          <w:rFonts w:ascii="Arial" w:hAnsi="Arial" w:cs="Arial"/>
          <w:sz w:val="20"/>
          <w:szCs w:val="20"/>
        </w:rPr>
        <w:t xml:space="preserve"> best practice and reform</w:t>
      </w:r>
      <w:r w:rsidRPr="000867E2">
        <w:rPr>
          <w:rFonts w:ascii="Arial" w:hAnsi="Arial" w:cs="Arial"/>
          <w:sz w:val="20"/>
          <w:szCs w:val="20"/>
        </w:rPr>
        <w:t xml:space="preserve"> </w:t>
      </w:r>
      <w:r w:rsidR="00681CCA" w:rsidRPr="000867E2">
        <w:rPr>
          <w:rFonts w:ascii="Arial" w:hAnsi="Arial" w:cs="Arial"/>
          <w:sz w:val="20"/>
          <w:szCs w:val="20"/>
        </w:rPr>
        <w:t>through our</w:t>
      </w:r>
      <w:r w:rsidRPr="000867E2">
        <w:rPr>
          <w:rFonts w:ascii="Arial" w:hAnsi="Arial" w:cs="Arial"/>
          <w:sz w:val="20"/>
          <w:szCs w:val="20"/>
        </w:rPr>
        <w:t xml:space="preserve"> </w:t>
      </w:r>
      <w:r w:rsidR="00681CCA" w:rsidRPr="000867E2">
        <w:rPr>
          <w:rFonts w:ascii="Arial" w:hAnsi="Arial" w:cs="Arial"/>
          <w:sz w:val="20"/>
          <w:szCs w:val="20"/>
        </w:rPr>
        <w:t>engagement</w:t>
      </w:r>
      <w:r w:rsidRPr="000867E2">
        <w:rPr>
          <w:rFonts w:ascii="Arial" w:hAnsi="Arial" w:cs="Arial"/>
          <w:sz w:val="20"/>
          <w:szCs w:val="20"/>
        </w:rPr>
        <w:t xml:space="preserve"> with government, financial regulators, and other stakeholders to promote a supportive environment for the </w:t>
      </w:r>
      <w:r w:rsidR="00681CCA" w:rsidRPr="000867E2">
        <w:rPr>
          <w:rFonts w:ascii="Arial" w:hAnsi="Arial" w:cs="Arial"/>
          <w:sz w:val="20"/>
          <w:szCs w:val="20"/>
        </w:rPr>
        <w:t>sector</w:t>
      </w:r>
      <w:r w:rsidRPr="000867E2">
        <w:rPr>
          <w:rFonts w:ascii="Arial" w:hAnsi="Arial" w:cs="Arial"/>
          <w:sz w:val="20"/>
          <w:szCs w:val="20"/>
        </w:rPr>
        <w:t>.</w:t>
      </w:r>
    </w:p>
    <w:p w14:paraId="1A446C3F" w14:textId="29EC8613" w:rsidR="003635DB" w:rsidRPr="000867E2" w:rsidRDefault="008D2DBF" w:rsidP="000867E2">
      <w:pPr>
        <w:rPr>
          <w:rFonts w:ascii="Arial" w:hAnsi="Arial" w:cs="Arial"/>
          <w:sz w:val="20"/>
          <w:szCs w:val="20"/>
        </w:rPr>
      </w:pPr>
      <w:r w:rsidRPr="000867E2">
        <w:rPr>
          <w:rFonts w:ascii="Arial" w:hAnsi="Arial" w:cs="Arial"/>
          <w:sz w:val="20"/>
          <w:szCs w:val="20"/>
        </w:rPr>
        <w:t>We have</w:t>
      </w:r>
      <w:r w:rsidR="009A1464" w:rsidRPr="000867E2">
        <w:rPr>
          <w:rFonts w:ascii="Arial" w:hAnsi="Arial" w:cs="Arial"/>
          <w:sz w:val="20"/>
          <w:szCs w:val="20"/>
        </w:rPr>
        <w:t xml:space="preserve"> published valuable guidance for listed companies on what constitutes best practice in the field in its </w:t>
      </w:r>
      <w:r w:rsidR="009A1464" w:rsidRPr="000867E2">
        <w:rPr>
          <w:rFonts w:ascii="Arial" w:hAnsi="Arial" w:cs="Arial"/>
          <w:i/>
          <w:iCs/>
          <w:sz w:val="20"/>
          <w:szCs w:val="20"/>
        </w:rPr>
        <w:t>Best Practice Investor Relations: Guidelines for Australasian Listed Entities</w:t>
      </w:r>
      <w:r w:rsidR="009A1464" w:rsidRPr="000867E2">
        <w:rPr>
          <w:rFonts w:ascii="Arial" w:hAnsi="Arial" w:cs="Arial"/>
          <w:sz w:val="20"/>
          <w:szCs w:val="20"/>
        </w:rPr>
        <w:t xml:space="preserve"> and </w:t>
      </w:r>
      <w:r w:rsidR="009A1464" w:rsidRPr="000867E2">
        <w:rPr>
          <w:rFonts w:ascii="Arial" w:hAnsi="Arial" w:cs="Arial"/>
          <w:i/>
          <w:iCs/>
          <w:sz w:val="20"/>
          <w:szCs w:val="20"/>
        </w:rPr>
        <w:t>ESG Engagement Guidelines</w:t>
      </w:r>
      <w:r w:rsidR="000962D2" w:rsidRPr="000867E2">
        <w:rPr>
          <w:rFonts w:ascii="Arial" w:hAnsi="Arial" w:cs="Arial"/>
          <w:i/>
          <w:iCs/>
          <w:sz w:val="20"/>
          <w:szCs w:val="20"/>
        </w:rPr>
        <w:t>:</w:t>
      </w:r>
      <w:r w:rsidR="009A1464" w:rsidRPr="000867E2">
        <w:rPr>
          <w:rFonts w:ascii="Arial" w:hAnsi="Arial" w:cs="Arial"/>
          <w:i/>
          <w:iCs/>
          <w:sz w:val="20"/>
          <w:szCs w:val="20"/>
        </w:rPr>
        <w:t xml:space="preserve"> Recommended Practices for Australasian Listed Entities</w:t>
      </w:r>
      <w:r w:rsidR="009A1464" w:rsidRPr="000867E2">
        <w:rPr>
          <w:rFonts w:ascii="Arial" w:hAnsi="Arial" w:cs="Arial"/>
          <w:sz w:val="20"/>
          <w:szCs w:val="20"/>
        </w:rPr>
        <w:t>. These are the definitive guides for the practice of investor relations across Australasia.</w:t>
      </w:r>
    </w:p>
    <w:p w14:paraId="5ADE1D82" w14:textId="2BA667E5" w:rsidR="005C38F3" w:rsidRPr="000867E2" w:rsidRDefault="00014BBB" w:rsidP="000867E2">
      <w:pPr>
        <w:rPr>
          <w:rFonts w:ascii="Arial" w:hAnsi="Arial" w:cs="Arial"/>
          <w:b/>
          <w:bCs/>
          <w:color w:val="CC0000"/>
          <w:sz w:val="20"/>
          <w:szCs w:val="20"/>
        </w:rPr>
      </w:pPr>
      <w:r w:rsidRPr="000867E2">
        <w:rPr>
          <w:rFonts w:ascii="Arial" w:hAnsi="Arial" w:cs="Arial"/>
          <w:b/>
          <w:bCs/>
          <w:color w:val="A50021"/>
          <w:sz w:val="20"/>
          <w:szCs w:val="20"/>
        </w:rPr>
        <w:t xml:space="preserve">Executive Summary </w:t>
      </w:r>
    </w:p>
    <w:p w14:paraId="05B040E5" w14:textId="47B1446A" w:rsidR="00681CCA" w:rsidRPr="000867E2" w:rsidRDefault="00681CCA" w:rsidP="000867E2">
      <w:pPr>
        <w:rPr>
          <w:rFonts w:ascii="Arial" w:hAnsi="Arial" w:cs="Arial"/>
          <w:sz w:val="20"/>
          <w:szCs w:val="20"/>
        </w:rPr>
      </w:pPr>
      <w:r w:rsidRPr="000867E2">
        <w:rPr>
          <w:rFonts w:ascii="Arial" w:hAnsi="Arial" w:cs="Arial"/>
          <w:sz w:val="20"/>
          <w:szCs w:val="20"/>
        </w:rPr>
        <w:t xml:space="preserve">AIRA supports </w:t>
      </w:r>
      <w:r w:rsidR="002B6D28">
        <w:rPr>
          <w:rFonts w:ascii="Arial" w:hAnsi="Arial" w:cs="Arial"/>
          <w:sz w:val="20"/>
          <w:szCs w:val="20"/>
        </w:rPr>
        <w:t>the objectives of this consultation to</w:t>
      </w:r>
      <w:r w:rsidRPr="000867E2">
        <w:rPr>
          <w:rFonts w:ascii="Arial" w:hAnsi="Arial" w:cs="Arial"/>
          <w:sz w:val="20"/>
          <w:szCs w:val="20"/>
        </w:rPr>
        <w:t xml:space="preserve"> strengthen the transparency and accountability of proxy advice in Australia and to assess the adequacy of the current regulatory framework. </w:t>
      </w:r>
    </w:p>
    <w:p w14:paraId="387F9B95" w14:textId="77777777" w:rsidR="00D073EF" w:rsidRDefault="000962D2" w:rsidP="000867E2">
      <w:pPr>
        <w:rPr>
          <w:rFonts w:ascii="Arial" w:hAnsi="Arial" w:cs="Arial"/>
          <w:sz w:val="20"/>
          <w:szCs w:val="20"/>
        </w:rPr>
      </w:pPr>
      <w:r w:rsidRPr="000867E2">
        <w:rPr>
          <w:rFonts w:ascii="Arial" w:hAnsi="Arial" w:cs="Arial"/>
          <w:sz w:val="20"/>
          <w:szCs w:val="20"/>
        </w:rPr>
        <w:t xml:space="preserve">The overarching aim of our submission is to provide constructive and balanced recommendations to help ameliorate some of the challenges facing our members </w:t>
      </w:r>
      <w:r w:rsidR="008D2DBF" w:rsidRPr="000867E2">
        <w:rPr>
          <w:rFonts w:ascii="Arial" w:hAnsi="Arial" w:cs="Arial"/>
          <w:sz w:val="20"/>
          <w:szCs w:val="20"/>
        </w:rPr>
        <w:t>based on their experiences with proxy advisers</w:t>
      </w:r>
      <w:r w:rsidRPr="000867E2">
        <w:rPr>
          <w:rFonts w:ascii="Arial" w:hAnsi="Arial" w:cs="Arial"/>
          <w:sz w:val="20"/>
          <w:szCs w:val="20"/>
        </w:rPr>
        <w:t>, including some of the issues we have observed since our inception in 2001.</w:t>
      </w:r>
      <w:r w:rsidR="008D2DBF" w:rsidRPr="000867E2">
        <w:rPr>
          <w:rFonts w:ascii="Arial" w:hAnsi="Arial" w:cs="Arial"/>
          <w:sz w:val="20"/>
          <w:szCs w:val="20"/>
        </w:rPr>
        <w:t xml:space="preserve"> </w:t>
      </w:r>
    </w:p>
    <w:p w14:paraId="75B750B9" w14:textId="5A924576" w:rsidR="00330B1B" w:rsidRPr="000867E2" w:rsidRDefault="008D2DBF" w:rsidP="000867E2">
      <w:pPr>
        <w:rPr>
          <w:rFonts w:ascii="Arial" w:hAnsi="Arial" w:cs="Arial"/>
          <w:sz w:val="20"/>
          <w:szCs w:val="20"/>
        </w:rPr>
      </w:pPr>
      <w:r w:rsidRPr="000867E2">
        <w:rPr>
          <w:rFonts w:ascii="Arial" w:hAnsi="Arial" w:cs="Arial"/>
          <w:sz w:val="20"/>
          <w:szCs w:val="20"/>
        </w:rPr>
        <w:t xml:space="preserve">More importantly, our submission is focused on outlining some practical solutions </w:t>
      </w:r>
      <w:r w:rsidR="002B6D28">
        <w:rPr>
          <w:rFonts w:ascii="Arial" w:hAnsi="Arial" w:cs="Arial"/>
          <w:sz w:val="20"/>
          <w:szCs w:val="20"/>
        </w:rPr>
        <w:t>to</w:t>
      </w:r>
      <w:r w:rsidRPr="000867E2">
        <w:rPr>
          <w:rFonts w:ascii="Arial" w:hAnsi="Arial" w:cs="Arial"/>
          <w:sz w:val="20"/>
          <w:szCs w:val="20"/>
        </w:rPr>
        <w:t xml:space="preserve"> foster stronger, more rigorous, and more transparent engagement between </w:t>
      </w:r>
      <w:r w:rsidR="00500897" w:rsidRPr="000867E2">
        <w:rPr>
          <w:rFonts w:ascii="Arial" w:hAnsi="Arial" w:cs="Arial"/>
          <w:sz w:val="20"/>
          <w:szCs w:val="20"/>
        </w:rPr>
        <w:t>proxy advisers and companies</w:t>
      </w:r>
      <w:r w:rsidRPr="000867E2">
        <w:rPr>
          <w:rFonts w:ascii="Arial" w:hAnsi="Arial" w:cs="Arial"/>
          <w:sz w:val="20"/>
          <w:szCs w:val="20"/>
        </w:rPr>
        <w:t xml:space="preserve">, </w:t>
      </w:r>
      <w:r w:rsidR="00500897" w:rsidRPr="000867E2">
        <w:rPr>
          <w:rFonts w:ascii="Arial" w:hAnsi="Arial" w:cs="Arial"/>
          <w:sz w:val="20"/>
          <w:szCs w:val="20"/>
        </w:rPr>
        <w:t>as well as</w:t>
      </w:r>
      <w:r w:rsidRPr="000867E2">
        <w:rPr>
          <w:rFonts w:ascii="Arial" w:hAnsi="Arial" w:cs="Arial"/>
          <w:sz w:val="20"/>
          <w:szCs w:val="20"/>
        </w:rPr>
        <w:t xml:space="preserve"> the institutional investors who use proxy advice to inform their decision-making</w:t>
      </w:r>
      <w:r w:rsidR="00500897" w:rsidRPr="000867E2">
        <w:rPr>
          <w:rFonts w:ascii="Arial" w:hAnsi="Arial" w:cs="Arial"/>
          <w:sz w:val="20"/>
          <w:szCs w:val="20"/>
        </w:rPr>
        <w:t xml:space="preserve"> on </w:t>
      </w:r>
      <w:r w:rsidR="005C38F3" w:rsidRPr="000867E2">
        <w:rPr>
          <w:rFonts w:ascii="Arial" w:hAnsi="Arial" w:cs="Arial"/>
          <w:sz w:val="20"/>
          <w:szCs w:val="20"/>
        </w:rPr>
        <w:t xml:space="preserve">company </w:t>
      </w:r>
      <w:r w:rsidR="00500897" w:rsidRPr="000867E2">
        <w:rPr>
          <w:rFonts w:ascii="Arial" w:hAnsi="Arial" w:cs="Arial"/>
          <w:sz w:val="20"/>
          <w:szCs w:val="20"/>
        </w:rPr>
        <w:t>resolutions</w:t>
      </w:r>
      <w:r w:rsidRPr="000867E2">
        <w:rPr>
          <w:rFonts w:ascii="Arial" w:hAnsi="Arial" w:cs="Arial"/>
          <w:sz w:val="20"/>
          <w:szCs w:val="20"/>
        </w:rPr>
        <w:t>.</w:t>
      </w:r>
    </w:p>
    <w:p w14:paraId="136D4FA8" w14:textId="50B83A5D" w:rsidR="005B619F" w:rsidRPr="000867E2" w:rsidRDefault="005C38F3" w:rsidP="000867E2">
      <w:pPr>
        <w:rPr>
          <w:rFonts w:ascii="Arial" w:hAnsi="Arial" w:cs="Arial"/>
          <w:sz w:val="20"/>
          <w:szCs w:val="20"/>
        </w:rPr>
      </w:pPr>
      <w:r w:rsidRPr="000867E2">
        <w:rPr>
          <w:rFonts w:ascii="Arial" w:hAnsi="Arial" w:cs="Arial"/>
          <w:sz w:val="20"/>
          <w:szCs w:val="20"/>
        </w:rPr>
        <w:lastRenderedPageBreak/>
        <w:t xml:space="preserve">Proxy advisers play an extremely important role in Australia’s </w:t>
      </w:r>
      <w:r w:rsidR="006F3545">
        <w:rPr>
          <w:rFonts w:ascii="Arial" w:hAnsi="Arial" w:cs="Arial"/>
          <w:sz w:val="20"/>
          <w:szCs w:val="20"/>
        </w:rPr>
        <w:t xml:space="preserve">capital </w:t>
      </w:r>
      <w:r w:rsidR="006F3545" w:rsidRPr="000867E2">
        <w:rPr>
          <w:rFonts w:ascii="Arial" w:hAnsi="Arial" w:cs="Arial"/>
          <w:sz w:val="20"/>
          <w:szCs w:val="20"/>
        </w:rPr>
        <w:t>markets</w:t>
      </w:r>
      <w:r w:rsidRPr="000867E2">
        <w:rPr>
          <w:rFonts w:ascii="Arial" w:hAnsi="Arial" w:cs="Arial"/>
          <w:sz w:val="20"/>
          <w:szCs w:val="20"/>
        </w:rPr>
        <w:t xml:space="preserve"> by critically </w:t>
      </w:r>
      <w:r w:rsidRPr="00DD01EF">
        <w:rPr>
          <w:rFonts w:ascii="Arial" w:hAnsi="Arial" w:cs="Arial"/>
          <w:sz w:val="20"/>
          <w:szCs w:val="20"/>
          <w:lang w:val="en-AU"/>
        </w:rPr>
        <w:t>analysing</w:t>
      </w:r>
      <w:r w:rsidRPr="000867E2">
        <w:rPr>
          <w:rFonts w:ascii="Arial" w:hAnsi="Arial" w:cs="Arial"/>
          <w:sz w:val="20"/>
          <w:szCs w:val="20"/>
        </w:rPr>
        <w:t xml:space="preserve"> proposals and resolutions put to shareholders by companies. Their voting recommendations on these resolutions put at a company’s meeting are a valuable resource for institutional investors as they exercise their voting rights, often across highly diversified holdings in a large number of ASX listed companies. </w:t>
      </w:r>
      <w:r w:rsidR="005F3FDD">
        <w:rPr>
          <w:rFonts w:ascii="Arial" w:hAnsi="Arial" w:cs="Arial"/>
          <w:sz w:val="20"/>
          <w:szCs w:val="20"/>
        </w:rPr>
        <w:t>Their</w:t>
      </w:r>
      <w:r w:rsidR="002B6D28">
        <w:rPr>
          <w:rFonts w:ascii="Arial" w:hAnsi="Arial" w:cs="Arial"/>
          <w:sz w:val="20"/>
          <w:szCs w:val="20"/>
        </w:rPr>
        <w:t xml:space="preserve"> </w:t>
      </w:r>
      <w:r w:rsidRPr="000867E2">
        <w:rPr>
          <w:rFonts w:ascii="Arial" w:hAnsi="Arial" w:cs="Arial"/>
          <w:sz w:val="20"/>
          <w:szCs w:val="20"/>
        </w:rPr>
        <w:t xml:space="preserve">advice is highly influential and </w:t>
      </w:r>
      <w:r w:rsidR="002B6D28">
        <w:rPr>
          <w:rFonts w:ascii="Arial" w:hAnsi="Arial" w:cs="Arial"/>
          <w:sz w:val="20"/>
          <w:szCs w:val="20"/>
        </w:rPr>
        <w:t xml:space="preserve">can have </w:t>
      </w:r>
      <w:r w:rsidR="005F3FDD">
        <w:rPr>
          <w:rFonts w:ascii="Arial" w:hAnsi="Arial" w:cs="Arial"/>
          <w:sz w:val="20"/>
          <w:szCs w:val="20"/>
        </w:rPr>
        <w:t xml:space="preserve">a </w:t>
      </w:r>
      <w:r w:rsidR="005F3FDD" w:rsidRPr="000867E2">
        <w:rPr>
          <w:rFonts w:ascii="Arial" w:hAnsi="Arial" w:cs="Arial"/>
          <w:sz w:val="20"/>
          <w:szCs w:val="20"/>
        </w:rPr>
        <w:t>profound effect on companies, directors and their shareholders</w:t>
      </w:r>
      <w:r w:rsidR="002B6D28">
        <w:rPr>
          <w:rFonts w:ascii="Arial" w:hAnsi="Arial" w:cs="Arial"/>
          <w:sz w:val="20"/>
          <w:szCs w:val="20"/>
        </w:rPr>
        <w:t>.</w:t>
      </w:r>
      <w:r w:rsidRPr="000867E2">
        <w:rPr>
          <w:rFonts w:ascii="Arial" w:hAnsi="Arial" w:cs="Arial"/>
          <w:sz w:val="20"/>
          <w:szCs w:val="20"/>
        </w:rPr>
        <w:t xml:space="preserve"> Companies, therefore, must work </w:t>
      </w:r>
      <w:r w:rsidR="002B6D28" w:rsidRPr="000867E2">
        <w:rPr>
          <w:rFonts w:ascii="Arial" w:hAnsi="Arial" w:cs="Arial"/>
          <w:sz w:val="20"/>
          <w:szCs w:val="20"/>
        </w:rPr>
        <w:t xml:space="preserve">constructively </w:t>
      </w:r>
      <w:r w:rsidRPr="000867E2">
        <w:rPr>
          <w:rFonts w:ascii="Arial" w:hAnsi="Arial" w:cs="Arial"/>
          <w:sz w:val="20"/>
          <w:szCs w:val="20"/>
        </w:rPr>
        <w:t>with proxy advisers to ensure that institutional shareholders receive accurate advice on voting matters. It is in all parties’ interests and the integrity of the capital markets, for proxy reports to be factually correct and for proxy advisers to receive important context about a company’s decisions across financial, environmental, social, and corporate governance matters.</w:t>
      </w:r>
    </w:p>
    <w:p w14:paraId="1BA09C4C" w14:textId="5A0520FB" w:rsidR="00500897" w:rsidRPr="000867E2" w:rsidRDefault="002B6D28" w:rsidP="000867E2">
      <w:pPr>
        <w:rPr>
          <w:rFonts w:ascii="Arial" w:hAnsi="Arial" w:cs="Arial"/>
          <w:sz w:val="20"/>
          <w:szCs w:val="20"/>
        </w:rPr>
      </w:pPr>
      <w:r w:rsidRPr="00B0448D">
        <w:rPr>
          <w:rFonts w:ascii="Arial" w:hAnsi="Arial" w:cs="Arial"/>
          <w:b/>
          <w:bCs/>
          <w:sz w:val="20"/>
          <w:szCs w:val="20"/>
        </w:rPr>
        <w:t>T</w:t>
      </w:r>
      <w:r w:rsidR="005C38F3" w:rsidRPr="00B0448D">
        <w:rPr>
          <w:rFonts w:ascii="Arial" w:hAnsi="Arial" w:cs="Arial"/>
          <w:b/>
          <w:bCs/>
          <w:sz w:val="20"/>
          <w:szCs w:val="20"/>
        </w:rPr>
        <w:t>he interactions between companies and proxy advisers</w:t>
      </w:r>
      <w:r w:rsidRPr="00B0448D">
        <w:rPr>
          <w:rFonts w:ascii="Arial" w:hAnsi="Arial" w:cs="Arial"/>
          <w:b/>
          <w:bCs/>
          <w:sz w:val="20"/>
          <w:szCs w:val="20"/>
        </w:rPr>
        <w:t>, however,</w:t>
      </w:r>
      <w:r w:rsidR="005C38F3" w:rsidRPr="00B0448D">
        <w:rPr>
          <w:rFonts w:ascii="Arial" w:hAnsi="Arial" w:cs="Arial"/>
          <w:b/>
          <w:bCs/>
          <w:sz w:val="20"/>
          <w:szCs w:val="20"/>
        </w:rPr>
        <w:t xml:space="preserve"> are in constant competition with the tight timeframes of the AGM season, the large number of ASX listed companies that require analysis, the volume of data </w:t>
      </w:r>
      <w:r w:rsidRPr="00B0448D">
        <w:rPr>
          <w:rFonts w:ascii="Arial" w:hAnsi="Arial" w:cs="Arial"/>
          <w:b/>
          <w:bCs/>
          <w:sz w:val="20"/>
          <w:szCs w:val="20"/>
        </w:rPr>
        <w:t>that shape</w:t>
      </w:r>
      <w:r w:rsidR="005C38F3" w:rsidRPr="00B0448D">
        <w:rPr>
          <w:rFonts w:ascii="Arial" w:hAnsi="Arial" w:cs="Arial"/>
          <w:b/>
          <w:bCs/>
          <w:sz w:val="20"/>
          <w:szCs w:val="20"/>
        </w:rPr>
        <w:t xml:space="preserve"> each company’s financial results, and the resources of proxy advisers to complete th</w:t>
      </w:r>
      <w:r w:rsidRPr="00B0448D">
        <w:rPr>
          <w:rFonts w:ascii="Arial" w:hAnsi="Arial" w:cs="Arial"/>
          <w:b/>
          <w:bCs/>
          <w:sz w:val="20"/>
          <w:szCs w:val="20"/>
        </w:rPr>
        <w:t xml:space="preserve">eir </w:t>
      </w:r>
      <w:r w:rsidR="005C38F3" w:rsidRPr="00B0448D">
        <w:rPr>
          <w:rFonts w:ascii="Arial" w:hAnsi="Arial" w:cs="Arial"/>
          <w:b/>
          <w:bCs/>
          <w:sz w:val="20"/>
          <w:szCs w:val="20"/>
        </w:rPr>
        <w:t>analysis and deliver their recommendations</w:t>
      </w:r>
      <w:r w:rsidR="005C38F3" w:rsidRPr="000867E2">
        <w:rPr>
          <w:rFonts w:ascii="Arial" w:hAnsi="Arial" w:cs="Arial"/>
          <w:sz w:val="20"/>
          <w:szCs w:val="20"/>
        </w:rPr>
        <w:t xml:space="preserve">. Companies, similarly, are time poor during the </w:t>
      </w:r>
      <w:r w:rsidR="0086717F">
        <w:rPr>
          <w:rFonts w:ascii="Arial" w:hAnsi="Arial" w:cs="Arial"/>
          <w:sz w:val="20"/>
          <w:szCs w:val="20"/>
        </w:rPr>
        <w:t>p</w:t>
      </w:r>
      <w:r w:rsidR="005C38F3" w:rsidRPr="000867E2">
        <w:rPr>
          <w:rFonts w:ascii="Arial" w:hAnsi="Arial" w:cs="Arial"/>
          <w:sz w:val="20"/>
          <w:szCs w:val="20"/>
        </w:rPr>
        <w:t>eriod in the lead up to an AGM and financial reporting</w:t>
      </w:r>
      <w:r w:rsidR="0086717F">
        <w:rPr>
          <w:rFonts w:ascii="Arial" w:hAnsi="Arial" w:cs="Arial"/>
          <w:sz w:val="20"/>
          <w:szCs w:val="20"/>
        </w:rPr>
        <w:t xml:space="preserve">, and </w:t>
      </w:r>
      <w:r w:rsidR="008F5772">
        <w:rPr>
          <w:rFonts w:ascii="Arial" w:hAnsi="Arial" w:cs="Arial"/>
          <w:sz w:val="20"/>
          <w:szCs w:val="20"/>
        </w:rPr>
        <w:t xml:space="preserve">their </w:t>
      </w:r>
      <w:r w:rsidR="005C38F3" w:rsidRPr="000867E2">
        <w:rPr>
          <w:rFonts w:ascii="Arial" w:hAnsi="Arial" w:cs="Arial"/>
          <w:sz w:val="20"/>
          <w:szCs w:val="20"/>
        </w:rPr>
        <w:t>investor relations</w:t>
      </w:r>
      <w:r w:rsidR="00F67E21" w:rsidRPr="000867E2">
        <w:rPr>
          <w:rFonts w:ascii="Arial" w:hAnsi="Arial" w:cs="Arial"/>
          <w:sz w:val="20"/>
          <w:szCs w:val="20"/>
        </w:rPr>
        <w:t xml:space="preserve"> teams</w:t>
      </w:r>
      <w:r w:rsidR="008F5772">
        <w:rPr>
          <w:rFonts w:ascii="Arial" w:hAnsi="Arial" w:cs="Arial"/>
          <w:sz w:val="20"/>
          <w:szCs w:val="20"/>
        </w:rPr>
        <w:t xml:space="preserve"> are constantly</w:t>
      </w:r>
      <w:r w:rsidR="005C38F3" w:rsidRPr="000867E2">
        <w:rPr>
          <w:rFonts w:ascii="Arial" w:hAnsi="Arial" w:cs="Arial"/>
          <w:sz w:val="20"/>
          <w:szCs w:val="20"/>
        </w:rPr>
        <w:t xml:space="preserve"> </w:t>
      </w:r>
      <w:r w:rsidR="008F5772" w:rsidRPr="000867E2">
        <w:rPr>
          <w:rFonts w:ascii="Arial" w:hAnsi="Arial" w:cs="Arial"/>
          <w:sz w:val="20"/>
          <w:szCs w:val="20"/>
        </w:rPr>
        <w:t>engag</w:t>
      </w:r>
      <w:r w:rsidR="008F5772">
        <w:rPr>
          <w:rFonts w:ascii="Arial" w:hAnsi="Arial" w:cs="Arial"/>
          <w:sz w:val="20"/>
          <w:szCs w:val="20"/>
        </w:rPr>
        <w:t xml:space="preserve">ing </w:t>
      </w:r>
      <w:r w:rsidR="00F67E21" w:rsidRPr="000867E2">
        <w:rPr>
          <w:rFonts w:ascii="Arial" w:hAnsi="Arial" w:cs="Arial"/>
          <w:sz w:val="20"/>
          <w:szCs w:val="20"/>
        </w:rPr>
        <w:t>and consult</w:t>
      </w:r>
      <w:r w:rsidR="008F5772">
        <w:rPr>
          <w:rFonts w:ascii="Arial" w:hAnsi="Arial" w:cs="Arial"/>
          <w:sz w:val="20"/>
          <w:szCs w:val="20"/>
        </w:rPr>
        <w:t>ing</w:t>
      </w:r>
      <w:r w:rsidR="00D553EA">
        <w:rPr>
          <w:rFonts w:ascii="Arial" w:hAnsi="Arial" w:cs="Arial"/>
          <w:sz w:val="20"/>
          <w:szCs w:val="20"/>
        </w:rPr>
        <w:t xml:space="preserve"> with</w:t>
      </w:r>
      <w:r w:rsidR="00F67E21" w:rsidRPr="000867E2">
        <w:rPr>
          <w:rFonts w:ascii="Arial" w:hAnsi="Arial" w:cs="Arial"/>
          <w:sz w:val="20"/>
          <w:szCs w:val="20"/>
        </w:rPr>
        <w:t xml:space="preserve"> </w:t>
      </w:r>
      <w:r>
        <w:rPr>
          <w:rFonts w:ascii="Arial" w:hAnsi="Arial" w:cs="Arial"/>
          <w:sz w:val="20"/>
          <w:szCs w:val="20"/>
        </w:rPr>
        <w:t>their investors</w:t>
      </w:r>
      <w:r w:rsidR="005C38F3" w:rsidRPr="000867E2">
        <w:rPr>
          <w:rFonts w:ascii="Arial" w:hAnsi="Arial" w:cs="Arial"/>
          <w:sz w:val="20"/>
          <w:szCs w:val="20"/>
        </w:rPr>
        <w:t xml:space="preserve"> and other stakeholders</w:t>
      </w:r>
      <w:r w:rsidR="008F5772">
        <w:rPr>
          <w:rFonts w:ascii="Arial" w:hAnsi="Arial" w:cs="Arial"/>
          <w:sz w:val="20"/>
          <w:szCs w:val="20"/>
        </w:rPr>
        <w:t xml:space="preserve"> throughout the year.</w:t>
      </w:r>
    </w:p>
    <w:p w14:paraId="1E1729FC" w14:textId="04C37261" w:rsidR="00D073EF" w:rsidRPr="008F5772" w:rsidRDefault="00D073EF" w:rsidP="000867E2">
      <w:pPr>
        <w:rPr>
          <w:rFonts w:ascii="Arial" w:hAnsi="Arial" w:cs="Arial"/>
          <w:b/>
          <w:bCs/>
          <w:sz w:val="20"/>
          <w:szCs w:val="20"/>
        </w:rPr>
      </w:pPr>
      <w:r w:rsidRPr="008F5772">
        <w:rPr>
          <w:rFonts w:ascii="Arial" w:hAnsi="Arial" w:cs="Arial"/>
          <w:b/>
          <w:bCs/>
          <w:sz w:val="20"/>
          <w:szCs w:val="20"/>
        </w:rPr>
        <w:t>Inconsistent engagement</w:t>
      </w:r>
    </w:p>
    <w:p w14:paraId="1986F83C" w14:textId="487ED984" w:rsidR="00BB286F" w:rsidRDefault="00FF3846" w:rsidP="000867E2">
      <w:pPr>
        <w:rPr>
          <w:rFonts w:ascii="Arial" w:hAnsi="Arial" w:cs="Arial"/>
          <w:sz w:val="20"/>
          <w:szCs w:val="20"/>
        </w:rPr>
      </w:pPr>
      <w:r w:rsidRPr="000867E2">
        <w:rPr>
          <w:rFonts w:ascii="Arial" w:hAnsi="Arial" w:cs="Arial"/>
          <w:sz w:val="20"/>
          <w:szCs w:val="20"/>
        </w:rPr>
        <w:t xml:space="preserve">As the Consultation Paper notes, each of the four main proxy advisers in Australia has </w:t>
      </w:r>
      <w:r w:rsidR="002044A4" w:rsidRPr="000867E2">
        <w:rPr>
          <w:rFonts w:ascii="Arial" w:hAnsi="Arial" w:cs="Arial"/>
          <w:sz w:val="20"/>
          <w:szCs w:val="20"/>
        </w:rPr>
        <w:t>its</w:t>
      </w:r>
      <w:r w:rsidRPr="000867E2">
        <w:rPr>
          <w:rFonts w:ascii="Arial" w:hAnsi="Arial" w:cs="Arial"/>
          <w:sz w:val="20"/>
          <w:szCs w:val="20"/>
        </w:rPr>
        <w:t xml:space="preserve"> own proxy voting guidelines and policies that outline how </w:t>
      </w:r>
      <w:r w:rsidR="002044A4" w:rsidRPr="000867E2">
        <w:rPr>
          <w:rFonts w:ascii="Arial" w:hAnsi="Arial" w:cs="Arial"/>
          <w:sz w:val="20"/>
          <w:szCs w:val="20"/>
        </w:rPr>
        <w:t xml:space="preserve">it </w:t>
      </w:r>
      <w:r w:rsidRPr="000867E2">
        <w:rPr>
          <w:rFonts w:ascii="Arial" w:hAnsi="Arial" w:cs="Arial"/>
          <w:sz w:val="20"/>
          <w:szCs w:val="20"/>
        </w:rPr>
        <w:t>engage</w:t>
      </w:r>
      <w:r w:rsidR="002044A4" w:rsidRPr="000867E2">
        <w:rPr>
          <w:rFonts w:ascii="Arial" w:hAnsi="Arial" w:cs="Arial"/>
          <w:sz w:val="20"/>
          <w:szCs w:val="20"/>
        </w:rPr>
        <w:t>s</w:t>
      </w:r>
      <w:r w:rsidRPr="000867E2">
        <w:rPr>
          <w:rFonts w:ascii="Arial" w:hAnsi="Arial" w:cs="Arial"/>
          <w:sz w:val="20"/>
          <w:szCs w:val="20"/>
        </w:rPr>
        <w:t xml:space="preserve"> with companies. </w:t>
      </w:r>
      <w:r w:rsidR="007D4A20" w:rsidRPr="000867E2">
        <w:rPr>
          <w:rFonts w:ascii="Arial" w:hAnsi="Arial" w:cs="Arial"/>
          <w:sz w:val="20"/>
          <w:szCs w:val="20"/>
        </w:rPr>
        <w:t>Generally, there is a willingness to engage on both sides</w:t>
      </w:r>
      <w:r w:rsidR="00A45BC4" w:rsidRPr="000867E2">
        <w:rPr>
          <w:rFonts w:ascii="Arial" w:hAnsi="Arial" w:cs="Arial"/>
          <w:sz w:val="20"/>
          <w:szCs w:val="20"/>
        </w:rPr>
        <w:t xml:space="preserve"> and in some cases</w:t>
      </w:r>
      <w:r w:rsidR="00500897" w:rsidRPr="000867E2">
        <w:rPr>
          <w:rFonts w:ascii="Arial" w:hAnsi="Arial" w:cs="Arial"/>
          <w:sz w:val="20"/>
          <w:szCs w:val="20"/>
        </w:rPr>
        <w:t>,</w:t>
      </w:r>
      <w:r w:rsidR="00EF2D84" w:rsidRPr="000867E2">
        <w:rPr>
          <w:rFonts w:ascii="Arial" w:hAnsi="Arial" w:cs="Arial"/>
          <w:sz w:val="20"/>
          <w:szCs w:val="20"/>
        </w:rPr>
        <w:t xml:space="preserve"> there is a willingness to address </w:t>
      </w:r>
      <w:r w:rsidR="00A45BC4" w:rsidRPr="000867E2">
        <w:rPr>
          <w:rFonts w:ascii="Arial" w:hAnsi="Arial" w:cs="Arial"/>
          <w:sz w:val="20"/>
          <w:szCs w:val="20"/>
        </w:rPr>
        <w:t>feedback from companies on factual matter</w:t>
      </w:r>
      <w:r w:rsidR="00EF2D84" w:rsidRPr="000867E2">
        <w:rPr>
          <w:rFonts w:ascii="Arial" w:hAnsi="Arial" w:cs="Arial"/>
          <w:sz w:val="20"/>
          <w:szCs w:val="20"/>
        </w:rPr>
        <w:t>s</w:t>
      </w:r>
      <w:r w:rsidR="00A45BC4" w:rsidRPr="000867E2">
        <w:rPr>
          <w:rFonts w:ascii="Arial" w:hAnsi="Arial" w:cs="Arial"/>
          <w:sz w:val="20"/>
          <w:szCs w:val="20"/>
        </w:rPr>
        <w:t xml:space="preserve">. In other cases, AIRA members have experienced a concerning lack of engagement or willingness to address errors and inaccuracies. </w:t>
      </w:r>
      <w:r w:rsidR="00A524BE">
        <w:rPr>
          <w:rFonts w:ascii="Arial" w:hAnsi="Arial" w:cs="Arial"/>
          <w:sz w:val="20"/>
          <w:szCs w:val="20"/>
        </w:rPr>
        <w:t>The existence of s</w:t>
      </w:r>
      <w:r w:rsidR="003F1A9C">
        <w:rPr>
          <w:rFonts w:ascii="Arial" w:hAnsi="Arial" w:cs="Arial"/>
          <w:sz w:val="20"/>
          <w:szCs w:val="20"/>
        </w:rPr>
        <w:t xml:space="preserve">uch mistakes </w:t>
      </w:r>
      <w:r w:rsidR="00BB77EC" w:rsidRPr="0005317B">
        <w:rPr>
          <w:rFonts w:ascii="Arial" w:hAnsi="Arial" w:cs="Arial"/>
          <w:sz w:val="20"/>
          <w:szCs w:val="20"/>
        </w:rPr>
        <w:t>in proxy adviser reports</w:t>
      </w:r>
      <w:r w:rsidR="00BB77EC" w:rsidRPr="000867E2">
        <w:rPr>
          <w:rFonts w:ascii="Arial" w:hAnsi="Arial" w:cs="Arial"/>
          <w:sz w:val="20"/>
          <w:szCs w:val="20"/>
          <w:lang w:val="en-AU"/>
        </w:rPr>
        <w:t xml:space="preserve">, often despite corrections being advised by companies, </w:t>
      </w:r>
      <w:r w:rsidR="00BB77EC" w:rsidRPr="000867E2">
        <w:rPr>
          <w:rFonts w:ascii="Arial" w:hAnsi="Arial" w:cs="Arial"/>
          <w:sz w:val="20"/>
          <w:szCs w:val="20"/>
        </w:rPr>
        <w:t xml:space="preserve">warrants </w:t>
      </w:r>
      <w:r w:rsidR="00BB77EC" w:rsidRPr="000867E2">
        <w:rPr>
          <w:rFonts w:ascii="Arial" w:hAnsi="Arial" w:cs="Arial"/>
          <w:sz w:val="20"/>
          <w:szCs w:val="20"/>
          <w:lang w:val="en-AU"/>
        </w:rPr>
        <w:t>close examination</w:t>
      </w:r>
      <w:r w:rsidR="00BB77EC" w:rsidRPr="000867E2">
        <w:rPr>
          <w:rFonts w:ascii="Arial" w:hAnsi="Arial" w:cs="Arial"/>
          <w:sz w:val="20"/>
          <w:szCs w:val="20"/>
        </w:rPr>
        <w:t xml:space="preserve"> and reform.</w:t>
      </w:r>
      <w:r w:rsidR="00BB77EC">
        <w:rPr>
          <w:rFonts w:ascii="Arial" w:hAnsi="Arial" w:cs="Arial"/>
          <w:sz w:val="20"/>
          <w:szCs w:val="20"/>
        </w:rPr>
        <w:t xml:space="preserve"> </w:t>
      </w:r>
    </w:p>
    <w:p w14:paraId="31FB71B9" w14:textId="6E4FCB13" w:rsidR="0005317B" w:rsidRPr="0005317B" w:rsidRDefault="0005317B" w:rsidP="0005317B">
      <w:pPr>
        <w:rPr>
          <w:rFonts w:ascii="Arial" w:hAnsi="Arial" w:cs="Arial"/>
          <w:sz w:val="20"/>
          <w:szCs w:val="20"/>
        </w:rPr>
      </w:pPr>
      <w:r>
        <w:rPr>
          <w:rFonts w:ascii="Arial" w:hAnsi="Arial" w:cs="Arial"/>
          <w:sz w:val="20"/>
          <w:szCs w:val="20"/>
        </w:rPr>
        <w:t xml:space="preserve">To assist Treasury </w:t>
      </w:r>
      <w:r w:rsidR="007F7BFC">
        <w:rPr>
          <w:rFonts w:ascii="Arial" w:hAnsi="Arial" w:cs="Arial"/>
          <w:sz w:val="20"/>
          <w:szCs w:val="20"/>
        </w:rPr>
        <w:t>with</w:t>
      </w:r>
      <w:r>
        <w:rPr>
          <w:rFonts w:ascii="Arial" w:hAnsi="Arial" w:cs="Arial"/>
          <w:sz w:val="20"/>
          <w:szCs w:val="20"/>
        </w:rPr>
        <w:t xml:space="preserve"> its consultation, AIRA has attached the results of its member survey conducted</w:t>
      </w:r>
      <w:r w:rsidR="002B6D28">
        <w:rPr>
          <w:rFonts w:ascii="Arial" w:hAnsi="Arial" w:cs="Arial"/>
          <w:sz w:val="20"/>
          <w:szCs w:val="20"/>
        </w:rPr>
        <w:t xml:space="preserve"> in 2017.</w:t>
      </w:r>
      <w:r>
        <w:rPr>
          <w:rFonts w:ascii="Arial" w:hAnsi="Arial" w:cs="Arial"/>
          <w:sz w:val="20"/>
          <w:szCs w:val="20"/>
        </w:rPr>
        <w:t xml:space="preserve"> At a high-level</w:t>
      </w:r>
      <w:r w:rsidR="002B6D28">
        <w:rPr>
          <w:rFonts w:ascii="Arial" w:hAnsi="Arial" w:cs="Arial"/>
          <w:sz w:val="20"/>
          <w:szCs w:val="20"/>
        </w:rPr>
        <w:t xml:space="preserve">, </w:t>
      </w:r>
      <w:r>
        <w:rPr>
          <w:rFonts w:ascii="Arial" w:hAnsi="Arial" w:cs="Arial"/>
          <w:sz w:val="20"/>
          <w:szCs w:val="20"/>
        </w:rPr>
        <w:t xml:space="preserve">the research found that one third of ASX200 respondents </w:t>
      </w:r>
      <w:r w:rsidRPr="00C91DF7">
        <w:rPr>
          <w:rFonts w:ascii="Arial" w:hAnsi="Arial" w:cs="Arial"/>
          <w:sz w:val="20"/>
          <w:szCs w:val="20"/>
        </w:rPr>
        <w:t>identified one or more factual errors in the most recent proxy reports published on their companies</w:t>
      </w:r>
      <w:r>
        <w:rPr>
          <w:rFonts w:ascii="Arial" w:hAnsi="Arial" w:cs="Arial"/>
          <w:sz w:val="20"/>
          <w:szCs w:val="20"/>
        </w:rPr>
        <w:t xml:space="preserve"> and 94 per cent of respondents </w:t>
      </w:r>
      <w:r w:rsidR="002B6D28">
        <w:rPr>
          <w:rFonts w:ascii="Arial" w:hAnsi="Arial" w:cs="Arial"/>
          <w:sz w:val="20"/>
          <w:szCs w:val="20"/>
        </w:rPr>
        <w:t>wanted the opportunity</w:t>
      </w:r>
      <w:r>
        <w:rPr>
          <w:rFonts w:ascii="Arial" w:hAnsi="Arial" w:cs="Arial"/>
          <w:sz w:val="20"/>
          <w:szCs w:val="20"/>
        </w:rPr>
        <w:t xml:space="preserve"> to fact check data before its release. Further, respondents said they wanted more constructive engagement with proxy advisers to ensure shareholders receive the best possible advice. Companies also requested that proxy advisers be signatories to and comply with a voluntary code of</w:t>
      </w:r>
      <w:r w:rsidR="005F3FDD">
        <w:rPr>
          <w:rFonts w:ascii="Arial" w:hAnsi="Arial" w:cs="Arial"/>
          <w:sz w:val="20"/>
          <w:szCs w:val="20"/>
        </w:rPr>
        <w:t xml:space="preserve"> best</w:t>
      </w:r>
      <w:r>
        <w:rPr>
          <w:rFonts w:ascii="Arial" w:hAnsi="Arial" w:cs="Arial"/>
          <w:sz w:val="20"/>
          <w:szCs w:val="20"/>
        </w:rPr>
        <w:t xml:space="preserve"> practice to improve engagement and </w:t>
      </w:r>
      <w:r w:rsidR="005F3FDD">
        <w:rPr>
          <w:rFonts w:ascii="Arial" w:hAnsi="Arial" w:cs="Arial"/>
          <w:sz w:val="20"/>
          <w:szCs w:val="20"/>
        </w:rPr>
        <w:t>the quality of proxy reports.</w:t>
      </w:r>
    </w:p>
    <w:p w14:paraId="5EC344CC" w14:textId="6A0468ED" w:rsidR="00BB286F" w:rsidRPr="00BB77EC" w:rsidRDefault="00A45BC4" w:rsidP="000867E2">
      <w:pPr>
        <w:rPr>
          <w:rFonts w:ascii="Arial" w:hAnsi="Arial" w:cs="Arial"/>
          <w:sz w:val="20"/>
          <w:szCs w:val="20"/>
          <w:lang w:val="en-AU"/>
        </w:rPr>
      </w:pPr>
      <w:r w:rsidRPr="000867E2">
        <w:rPr>
          <w:rFonts w:ascii="Arial" w:hAnsi="Arial" w:cs="Arial"/>
          <w:sz w:val="20"/>
          <w:szCs w:val="20"/>
        </w:rPr>
        <w:t>The</w:t>
      </w:r>
      <w:r w:rsidR="007D4A20" w:rsidRPr="000867E2">
        <w:rPr>
          <w:rFonts w:ascii="Arial" w:hAnsi="Arial" w:cs="Arial"/>
          <w:sz w:val="20"/>
          <w:szCs w:val="20"/>
        </w:rPr>
        <w:t xml:space="preserve"> inconsistency </w:t>
      </w:r>
      <w:r w:rsidRPr="000867E2">
        <w:rPr>
          <w:rFonts w:ascii="Arial" w:hAnsi="Arial" w:cs="Arial"/>
          <w:sz w:val="20"/>
          <w:szCs w:val="20"/>
        </w:rPr>
        <w:t xml:space="preserve">of engagement </w:t>
      </w:r>
      <w:r w:rsidR="007D4A20" w:rsidRPr="000867E2">
        <w:rPr>
          <w:rFonts w:ascii="Arial" w:hAnsi="Arial" w:cs="Arial"/>
          <w:sz w:val="20"/>
          <w:szCs w:val="20"/>
        </w:rPr>
        <w:t xml:space="preserve">has led to significant concerns from </w:t>
      </w:r>
      <w:r w:rsidR="002044A4" w:rsidRPr="000867E2">
        <w:rPr>
          <w:rFonts w:ascii="Arial" w:hAnsi="Arial" w:cs="Arial"/>
          <w:sz w:val="20"/>
          <w:szCs w:val="20"/>
        </w:rPr>
        <w:t xml:space="preserve">AIRA </w:t>
      </w:r>
      <w:r w:rsidR="007D4A20" w:rsidRPr="000867E2">
        <w:rPr>
          <w:rFonts w:ascii="Arial" w:hAnsi="Arial" w:cs="Arial"/>
          <w:sz w:val="20"/>
          <w:szCs w:val="20"/>
        </w:rPr>
        <w:t>members</w:t>
      </w:r>
      <w:r w:rsidR="007F7BFC">
        <w:rPr>
          <w:rFonts w:ascii="Arial" w:hAnsi="Arial" w:cs="Arial"/>
          <w:sz w:val="20"/>
          <w:szCs w:val="20"/>
        </w:rPr>
        <w:t xml:space="preserve"> – one of the most pressing being the</w:t>
      </w:r>
      <w:r w:rsidR="007D4A20" w:rsidRPr="000867E2">
        <w:rPr>
          <w:rFonts w:ascii="Arial" w:hAnsi="Arial" w:cs="Arial"/>
          <w:sz w:val="20"/>
          <w:szCs w:val="20"/>
        </w:rPr>
        <w:t xml:space="preserve"> lack of any requirement for proxy advisers to engage with companies on their </w:t>
      </w:r>
      <w:r w:rsidR="005F3FDD">
        <w:rPr>
          <w:rFonts w:ascii="Arial" w:hAnsi="Arial" w:cs="Arial"/>
          <w:sz w:val="20"/>
          <w:szCs w:val="20"/>
        </w:rPr>
        <w:t>analysis</w:t>
      </w:r>
      <w:r w:rsidR="007D4A20" w:rsidRPr="000867E2">
        <w:rPr>
          <w:rFonts w:ascii="Arial" w:hAnsi="Arial" w:cs="Arial"/>
          <w:sz w:val="20"/>
          <w:szCs w:val="20"/>
        </w:rPr>
        <w:t xml:space="preserve"> and recommendations, either before or after providing their </w:t>
      </w:r>
      <w:r w:rsidR="007D4A20" w:rsidRPr="0005317B">
        <w:rPr>
          <w:rFonts w:ascii="Arial" w:hAnsi="Arial" w:cs="Arial"/>
          <w:sz w:val="20"/>
          <w:szCs w:val="20"/>
        </w:rPr>
        <w:t>reports to investors.</w:t>
      </w:r>
      <w:r w:rsidR="00BB286F" w:rsidRPr="0005317B">
        <w:rPr>
          <w:rFonts w:ascii="Arial" w:hAnsi="Arial" w:cs="Arial"/>
          <w:sz w:val="20"/>
          <w:szCs w:val="20"/>
        </w:rPr>
        <w:t xml:space="preserve"> </w:t>
      </w:r>
      <w:r w:rsidR="00BB77EC">
        <w:rPr>
          <w:rFonts w:ascii="Arial" w:hAnsi="Arial" w:cs="Arial"/>
          <w:sz w:val="20"/>
          <w:szCs w:val="20"/>
        </w:rPr>
        <w:t xml:space="preserve">However, </w:t>
      </w:r>
      <w:r w:rsidR="00BB77EC">
        <w:rPr>
          <w:rFonts w:ascii="Arial" w:hAnsi="Arial" w:cs="Arial"/>
          <w:sz w:val="20"/>
          <w:szCs w:val="20"/>
          <w:lang w:val="en-AU"/>
        </w:rPr>
        <w:t>m</w:t>
      </w:r>
      <w:r w:rsidR="00BE70D5" w:rsidRPr="000867E2">
        <w:rPr>
          <w:rFonts w:ascii="Arial" w:hAnsi="Arial" w:cs="Arial"/>
          <w:sz w:val="20"/>
          <w:szCs w:val="20"/>
          <w:lang w:val="en-AU"/>
        </w:rPr>
        <w:t xml:space="preserve">any of the concerns </w:t>
      </w:r>
      <w:r w:rsidR="00500897" w:rsidRPr="000867E2">
        <w:rPr>
          <w:rFonts w:ascii="Arial" w:hAnsi="Arial" w:cs="Arial"/>
          <w:sz w:val="20"/>
          <w:szCs w:val="20"/>
        </w:rPr>
        <w:t>highlighted by</w:t>
      </w:r>
      <w:r w:rsidR="00BE70D5" w:rsidRPr="000867E2">
        <w:rPr>
          <w:rFonts w:ascii="Arial" w:hAnsi="Arial" w:cs="Arial"/>
          <w:sz w:val="20"/>
          <w:szCs w:val="20"/>
          <w:lang w:val="en-AU"/>
        </w:rPr>
        <w:t xml:space="preserve"> </w:t>
      </w:r>
      <w:r w:rsidR="00500897" w:rsidRPr="000867E2">
        <w:rPr>
          <w:rFonts w:ascii="Arial" w:hAnsi="Arial" w:cs="Arial"/>
          <w:sz w:val="20"/>
          <w:szCs w:val="20"/>
        </w:rPr>
        <w:t>our members</w:t>
      </w:r>
      <w:r w:rsidR="00BE70D5" w:rsidRPr="000867E2">
        <w:rPr>
          <w:rFonts w:ascii="Arial" w:hAnsi="Arial" w:cs="Arial"/>
          <w:sz w:val="20"/>
          <w:szCs w:val="20"/>
          <w:lang w:val="en-AU"/>
        </w:rPr>
        <w:t xml:space="preserve"> regarding the deficiencies in the current operating environment can</w:t>
      </w:r>
      <w:r w:rsidR="00500897" w:rsidRPr="000867E2">
        <w:rPr>
          <w:rFonts w:ascii="Arial" w:hAnsi="Arial" w:cs="Arial"/>
          <w:sz w:val="20"/>
          <w:szCs w:val="20"/>
        </w:rPr>
        <w:t>, to a large extent,</w:t>
      </w:r>
      <w:r w:rsidR="00BE70D5" w:rsidRPr="000867E2">
        <w:rPr>
          <w:rFonts w:ascii="Arial" w:hAnsi="Arial" w:cs="Arial"/>
          <w:sz w:val="20"/>
          <w:szCs w:val="20"/>
          <w:lang w:val="en-AU"/>
        </w:rPr>
        <w:t xml:space="preserve"> be resolved through more comprehensive and ongoing engagement between proxy advisers and companies</w:t>
      </w:r>
      <w:r w:rsidR="00BB286F" w:rsidRPr="000867E2">
        <w:rPr>
          <w:rFonts w:ascii="Arial" w:hAnsi="Arial" w:cs="Arial"/>
          <w:sz w:val="20"/>
          <w:szCs w:val="20"/>
          <w:lang w:val="en-AU"/>
        </w:rPr>
        <w:t xml:space="preserve"> throughout the financial year and not just within the 28</w:t>
      </w:r>
      <w:r w:rsidR="00442344" w:rsidRPr="000867E2">
        <w:rPr>
          <w:rFonts w:ascii="Arial" w:hAnsi="Arial" w:cs="Arial"/>
          <w:sz w:val="20"/>
          <w:szCs w:val="20"/>
        </w:rPr>
        <w:t>-</w:t>
      </w:r>
      <w:r w:rsidR="00BB286F" w:rsidRPr="000867E2">
        <w:rPr>
          <w:rFonts w:ascii="Arial" w:hAnsi="Arial" w:cs="Arial"/>
          <w:sz w:val="20"/>
          <w:szCs w:val="20"/>
          <w:lang w:val="en-AU"/>
        </w:rPr>
        <w:t>day notice period of a company meeting.</w:t>
      </w:r>
      <w:r w:rsidR="00BB286F" w:rsidRPr="000867E2">
        <w:rPr>
          <w:rFonts w:ascii="Arial" w:hAnsi="Arial" w:cs="Arial"/>
          <w:sz w:val="20"/>
          <w:szCs w:val="20"/>
        </w:rPr>
        <w:t xml:space="preserve"> </w:t>
      </w:r>
    </w:p>
    <w:p w14:paraId="1EB001F6" w14:textId="4EF9D09C" w:rsidR="003307B2" w:rsidRPr="008F5772" w:rsidRDefault="00C36E8F" w:rsidP="000867E2">
      <w:pPr>
        <w:rPr>
          <w:rFonts w:ascii="Arial" w:hAnsi="Arial" w:cs="Arial"/>
          <w:b/>
          <w:bCs/>
          <w:sz w:val="20"/>
          <w:szCs w:val="20"/>
        </w:rPr>
      </w:pPr>
      <w:r w:rsidRPr="008F5772">
        <w:rPr>
          <w:rFonts w:ascii="Arial" w:hAnsi="Arial" w:cs="Arial"/>
          <w:b/>
          <w:bCs/>
          <w:sz w:val="20"/>
          <w:szCs w:val="20"/>
        </w:rPr>
        <w:t>T</w:t>
      </w:r>
      <w:r w:rsidR="003307B2" w:rsidRPr="008F5772">
        <w:rPr>
          <w:rFonts w:ascii="Arial" w:hAnsi="Arial" w:cs="Arial"/>
          <w:b/>
          <w:bCs/>
          <w:sz w:val="20"/>
          <w:szCs w:val="20"/>
        </w:rPr>
        <w:t>ransparency</w:t>
      </w:r>
    </w:p>
    <w:p w14:paraId="0C4A7EFB" w14:textId="20F629D8" w:rsidR="003307B2" w:rsidRPr="00B0448D" w:rsidRDefault="00BB286F" w:rsidP="000867E2">
      <w:pPr>
        <w:rPr>
          <w:rFonts w:ascii="Arial" w:hAnsi="Arial" w:cs="Arial"/>
          <w:b/>
          <w:bCs/>
          <w:sz w:val="20"/>
          <w:szCs w:val="20"/>
        </w:rPr>
      </w:pPr>
      <w:r w:rsidRPr="000867E2">
        <w:rPr>
          <w:rFonts w:ascii="Arial" w:hAnsi="Arial" w:cs="Arial"/>
          <w:sz w:val="20"/>
          <w:szCs w:val="20"/>
        </w:rPr>
        <w:t xml:space="preserve">Options 3 and 4 of the Consultation Paper provide positive steps </w:t>
      </w:r>
      <w:r w:rsidR="005F3FDD">
        <w:rPr>
          <w:rFonts w:ascii="Arial" w:hAnsi="Arial" w:cs="Arial"/>
          <w:sz w:val="20"/>
          <w:szCs w:val="20"/>
        </w:rPr>
        <w:t>to</w:t>
      </w:r>
      <w:r w:rsidR="003F1A9C">
        <w:rPr>
          <w:rFonts w:ascii="Arial" w:hAnsi="Arial" w:cs="Arial"/>
          <w:sz w:val="20"/>
          <w:szCs w:val="20"/>
        </w:rPr>
        <w:t xml:space="preserve"> ensure more</w:t>
      </w:r>
      <w:r w:rsidRPr="000867E2">
        <w:rPr>
          <w:rFonts w:ascii="Arial" w:hAnsi="Arial" w:cs="Arial"/>
          <w:sz w:val="20"/>
          <w:szCs w:val="20"/>
        </w:rPr>
        <w:t xml:space="preserve"> </w:t>
      </w:r>
      <w:r w:rsidR="005F3FDD">
        <w:rPr>
          <w:rFonts w:ascii="Arial" w:hAnsi="Arial" w:cs="Arial"/>
          <w:sz w:val="20"/>
          <w:szCs w:val="20"/>
        </w:rPr>
        <w:t xml:space="preserve">formal engagement </w:t>
      </w:r>
      <w:r w:rsidR="003F1A9C">
        <w:rPr>
          <w:rFonts w:ascii="Arial" w:hAnsi="Arial" w:cs="Arial"/>
          <w:sz w:val="20"/>
          <w:szCs w:val="20"/>
        </w:rPr>
        <w:t>occurs within the AGM window, amongst the range of informal interactions throughout the year</w:t>
      </w:r>
      <w:r w:rsidRPr="000867E2">
        <w:rPr>
          <w:rFonts w:ascii="Arial" w:hAnsi="Arial" w:cs="Arial"/>
          <w:sz w:val="20"/>
          <w:szCs w:val="20"/>
        </w:rPr>
        <w:t>.</w:t>
      </w:r>
      <w:r w:rsidR="003F1A9C">
        <w:rPr>
          <w:rFonts w:ascii="Arial" w:hAnsi="Arial" w:cs="Arial"/>
          <w:sz w:val="20"/>
          <w:szCs w:val="20"/>
        </w:rPr>
        <w:t xml:space="preserve"> As such, </w:t>
      </w:r>
      <w:r w:rsidR="003F1A9C" w:rsidRPr="00B0448D">
        <w:rPr>
          <w:rFonts w:ascii="Arial" w:hAnsi="Arial" w:cs="Arial"/>
          <w:b/>
          <w:bCs/>
          <w:sz w:val="20"/>
          <w:szCs w:val="20"/>
        </w:rPr>
        <w:t>AIRA believes that only when a</w:t>
      </w:r>
      <w:r w:rsidR="005F3FDD" w:rsidRPr="00B0448D">
        <w:rPr>
          <w:rFonts w:ascii="Arial" w:hAnsi="Arial" w:cs="Arial"/>
          <w:b/>
          <w:bCs/>
          <w:sz w:val="20"/>
          <w:szCs w:val="20"/>
        </w:rPr>
        <w:t xml:space="preserve"> </w:t>
      </w:r>
      <w:r w:rsidRPr="00B0448D">
        <w:rPr>
          <w:rFonts w:ascii="Arial" w:hAnsi="Arial" w:cs="Arial"/>
          <w:b/>
          <w:bCs/>
          <w:sz w:val="20"/>
          <w:szCs w:val="20"/>
        </w:rPr>
        <w:t>proxy advis</w:t>
      </w:r>
      <w:r w:rsidR="00591F03" w:rsidRPr="00B0448D">
        <w:rPr>
          <w:rFonts w:ascii="Arial" w:hAnsi="Arial" w:cs="Arial"/>
          <w:b/>
          <w:bCs/>
          <w:sz w:val="20"/>
          <w:szCs w:val="20"/>
        </w:rPr>
        <w:t>e</w:t>
      </w:r>
      <w:r w:rsidRPr="00B0448D">
        <w:rPr>
          <w:rFonts w:ascii="Arial" w:hAnsi="Arial" w:cs="Arial"/>
          <w:b/>
          <w:bCs/>
          <w:sz w:val="20"/>
          <w:szCs w:val="20"/>
        </w:rPr>
        <w:t>r</w:t>
      </w:r>
      <w:r w:rsidR="003F1A9C" w:rsidRPr="00B0448D">
        <w:rPr>
          <w:rFonts w:ascii="Arial" w:hAnsi="Arial" w:cs="Arial"/>
          <w:b/>
          <w:bCs/>
          <w:sz w:val="20"/>
          <w:szCs w:val="20"/>
        </w:rPr>
        <w:t xml:space="preserve"> proposes</w:t>
      </w:r>
      <w:r w:rsidRPr="00B0448D">
        <w:rPr>
          <w:rFonts w:ascii="Arial" w:hAnsi="Arial" w:cs="Arial"/>
          <w:b/>
          <w:bCs/>
          <w:sz w:val="20"/>
          <w:szCs w:val="20"/>
        </w:rPr>
        <w:t xml:space="preserve"> to recommend</w:t>
      </w:r>
      <w:r w:rsidRPr="00B0448D">
        <w:rPr>
          <w:rFonts w:ascii="Arial" w:hAnsi="Arial" w:cs="Arial"/>
          <w:b/>
          <w:bCs/>
          <w:i/>
          <w:iCs/>
          <w:sz w:val="20"/>
          <w:szCs w:val="20"/>
        </w:rPr>
        <w:t xml:space="preserve"> against</w:t>
      </w:r>
      <w:r w:rsidRPr="00B0448D">
        <w:rPr>
          <w:rFonts w:ascii="Arial" w:hAnsi="Arial" w:cs="Arial"/>
          <w:b/>
          <w:bCs/>
          <w:sz w:val="20"/>
          <w:szCs w:val="20"/>
        </w:rPr>
        <w:t xml:space="preserve"> a Board recommended resolution, should it be required to </w:t>
      </w:r>
      <w:r w:rsidR="009A50CC" w:rsidRPr="00B0448D">
        <w:rPr>
          <w:rFonts w:ascii="Arial" w:hAnsi="Arial" w:cs="Arial"/>
          <w:b/>
          <w:bCs/>
          <w:sz w:val="20"/>
          <w:szCs w:val="20"/>
        </w:rPr>
        <w:t>share its report with the</w:t>
      </w:r>
      <w:r w:rsidRPr="00B0448D">
        <w:rPr>
          <w:rFonts w:ascii="Arial" w:hAnsi="Arial" w:cs="Arial"/>
          <w:b/>
          <w:bCs/>
          <w:sz w:val="20"/>
          <w:szCs w:val="20"/>
        </w:rPr>
        <w:t xml:space="preserve"> company </w:t>
      </w:r>
      <w:r w:rsidR="009A50CC" w:rsidRPr="00B0448D">
        <w:rPr>
          <w:rFonts w:ascii="Arial" w:hAnsi="Arial" w:cs="Arial"/>
          <w:b/>
          <w:bCs/>
          <w:sz w:val="20"/>
          <w:szCs w:val="20"/>
        </w:rPr>
        <w:t xml:space="preserve">and allow it </w:t>
      </w:r>
      <w:r w:rsidRPr="00B0448D">
        <w:rPr>
          <w:rFonts w:ascii="Arial" w:hAnsi="Arial" w:cs="Arial"/>
          <w:b/>
          <w:bCs/>
          <w:sz w:val="20"/>
          <w:szCs w:val="20"/>
        </w:rPr>
        <w:t>three business days to respond. Further, the proxy advis</w:t>
      </w:r>
      <w:r w:rsidR="00591F03" w:rsidRPr="00B0448D">
        <w:rPr>
          <w:rFonts w:ascii="Arial" w:hAnsi="Arial" w:cs="Arial"/>
          <w:b/>
          <w:bCs/>
          <w:sz w:val="20"/>
          <w:szCs w:val="20"/>
        </w:rPr>
        <w:t>e</w:t>
      </w:r>
      <w:r w:rsidRPr="00B0448D">
        <w:rPr>
          <w:rFonts w:ascii="Arial" w:hAnsi="Arial" w:cs="Arial"/>
          <w:b/>
          <w:bCs/>
          <w:sz w:val="20"/>
          <w:szCs w:val="20"/>
        </w:rPr>
        <w:t>r should be required to attach the company’s response to the report when it is distributed to clients.</w:t>
      </w:r>
      <w:r w:rsidR="00442344" w:rsidRPr="00B0448D">
        <w:rPr>
          <w:rFonts w:ascii="Arial" w:hAnsi="Arial" w:cs="Arial"/>
          <w:b/>
          <w:bCs/>
          <w:sz w:val="20"/>
          <w:szCs w:val="20"/>
        </w:rPr>
        <w:t xml:space="preserve"> </w:t>
      </w:r>
    </w:p>
    <w:p w14:paraId="2CB97CA6" w14:textId="50E251CC" w:rsidR="00426E3E" w:rsidRPr="00B0448D" w:rsidRDefault="00442344" w:rsidP="000867E2">
      <w:pPr>
        <w:rPr>
          <w:rFonts w:ascii="Arial" w:hAnsi="Arial" w:cs="Arial"/>
          <w:b/>
          <w:bCs/>
          <w:sz w:val="20"/>
          <w:szCs w:val="20"/>
        </w:rPr>
      </w:pPr>
      <w:r w:rsidRPr="000867E2">
        <w:rPr>
          <w:rFonts w:ascii="Arial" w:hAnsi="Arial" w:cs="Arial"/>
          <w:sz w:val="20"/>
          <w:szCs w:val="20"/>
        </w:rPr>
        <w:lastRenderedPageBreak/>
        <w:t>We do not believe this would compromise</w:t>
      </w:r>
      <w:r w:rsidR="00BB286F" w:rsidRPr="000867E2">
        <w:rPr>
          <w:rFonts w:ascii="Arial" w:hAnsi="Arial" w:cs="Arial"/>
          <w:sz w:val="20"/>
          <w:szCs w:val="20"/>
        </w:rPr>
        <w:t xml:space="preserve"> </w:t>
      </w:r>
      <w:r w:rsidRPr="000867E2">
        <w:rPr>
          <w:rFonts w:ascii="Arial" w:hAnsi="Arial" w:cs="Arial"/>
          <w:sz w:val="20"/>
          <w:szCs w:val="20"/>
        </w:rPr>
        <w:t xml:space="preserve">the independence or transparency of the advice that proxy advisers provide. Instead, it would ensure proxy advisers </w:t>
      </w:r>
      <w:r w:rsidR="005F3FDD">
        <w:rPr>
          <w:rFonts w:ascii="Arial" w:hAnsi="Arial" w:cs="Arial"/>
          <w:sz w:val="20"/>
          <w:szCs w:val="20"/>
        </w:rPr>
        <w:t>have</w:t>
      </w:r>
      <w:r w:rsidR="00330B1B" w:rsidRPr="000867E2">
        <w:rPr>
          <w:rFonts w:ascii="Arial" w:hAnsi="Arial" w:cs="Arial"/>
          <w:sz w:val="20"/>
          <w:szCs w:val="20"/>
        </w:rPr>
        <w:t xml:space="preserve"> accurate information</w:t>
      </w:r>
      <w:r w:rsidR="005F3FDD">
        <w:rPr>
          <w:rFonts w:ascii="Arial" w:hAnsi="Arial" w:cs="Arial"/>
          <w:sz w:val="20"/>
          <w:szCs w:val="20"/>
        </w:rPr>
        <w:t xml:space="preserve"> and other important context around decision-making </w:t>
      </w:r>
      <w:r w:rsidR="00330B1B" w:rsidRPr="000867E2">
        <w:rPr>
          <w:rFonts w:ascii="Arial" w:hAnsi="Arial" w:cs="Arial"/>
          <w:sz w:val="20"/>
          <w:szCs w:val="20"/>
        </w:rPr>
        <w:t>required</w:t>
      </w:r>
      <w:r w:rsidRPr="000867E2">
        <w:rPr>
          <w:rFonts w:ascii="Arial" w:hAnsi="Arial" w:cs="Arial"/>
          <w:sz w:val="20"/>
          <w:szCs w:val="20"/>
        </w:rPr>
        <w:t xml:space="preserve"> to make their recommendations</w:t>
      </w:r>
      <w:r w:rsidR="005F3FDD">
        <w:rPr>
          <w:rFonts w:ascii="Arial" w:hAnsi="Arial" w:cs="Arial"/>
          <w:sz w:val="20"/>
          <w:szCs w:val="20"/>
        </w:rPr>
        <w:t xml:space="preserve">. </w:t>
      </w:r>
      <w:r w:rsidR="00F67E21" w:rsidRPr="00B0448D">
        <w:rPr>
          <w:rFonts w:ascii="Arial" w:hAnsi="Arial" w:cs="Arial"/>
          <w:b/>
          <w:bCs/>
          <w:sz w:val="20"/>
          <w:szCs w:val="20"/>
        </w:rPr>
        <w:t xml:space="preserve">Further, it would benefit </w:t>
      </w:r>
      <w:r w:rsidR="00F67E21" w:rsidRPr="00B0448D">
        <w:rPr>
          <w:rFonts w:ascii="Arial" w:hAnsi="Arial" w:cs="Arial"/>
          <w:b/>
          <w:bCs/>
          <w:sz w:val="20"/>
          <w:szCs w:val="20"/>
          <w:lang w:val="en-AU"/>
        </w:rPr>
        <w:t>institutional investors</w:t>
      </w:r>
      <w:r w:rsidR="00F67E21" w:rsidRPr="00B0448D">
        <w:rPr>
          <w:rFonts w:ascii="Arial" w:hAnsi="Arial" w:cs="Arial"/>
          <w:b/>
          <w:bCs/>
          <w:sz w:val="20"/>
          <w:szCs w:val="20"/>
        </w:rPr>
        <w:t xml:space="preserve"> with </w:t>
      </w:r>
      <w:r w:rsidR="00F67E21" w:rsidRPr="00B0448D">
        <w:rPr>
          <w:rFonts w:ascii="Arial" w:hAnsi="Arial" w:cs="Arial"/>
          <w:b/>
          <w:bCs/>
          <w:sz w:val="20"/>
          <w:szCs w:val="20"/>
          <w:lang w:val="en-AU"/>
        </w:rPr>
        <w:t>limited capacity to engage with multiple sources of information in relation to each AGM</w:t>
      </w:r>
      <w:r w:rsidR="00F67E21" w:rsidRPr="00B0448D">
        <w:rPr>
          <w:rFonts w:ascii="Arial" w:hAnsi="Arial" w:cs="Arial"/>
          <w:b/>
          <w:bCs/>
          <w:sz w:val="20"/>
          <w:szCs w:val="20"/>
        </w:rPr>
        <w:t xml:space="preserve">, by providing them with both the </w:t>
      </w:r>
      <w:r w:rsidR="00F67E21" w:rsidRPr="00B0448D">
        <w:rPr>
          <w:rFonts w:ascii="Arial" w:hAnsi="Arial" w:cs="Arial"/>
          <w:b/>
          <w:bCs/>
          <w:sz w:val="20"/>
          <w:szCs w:val="20"/>
          <w:lang w:val="en-AU"/>
        </w:rPr>
        <w:t xml:space="preserve">proxy advice </w:t>
      </w:r>
      <w:r w:rsidR="00F67E21" w:rsidRPr="00B0448D">
        <w:rPr>
          <w:rFonts w:ascii="Arial" w:hAnsi="Arial" w:cs="Arial"/>
          <w:b/>
          <w:bCs/>
          <w:sz w:val="20"/>
          <w:szCs w:val="20"/>
        </w:rPr>
        <w:t>and the</w:t>
      </w:r>
      <w:r w:rsidR="00F67E21" w:rsidRPr="00B0448D">
        <w:rPr>
          <w:rFonts w:ascii="Arial" w:hAnsi="Arial" w:cs="Arial"/>
          <w:b/>
          <w:bCs/>
          <w:sz w:val="20"/>
          <w:szCs w:val="20"/>
          <w:lang w:val="en-AU"/>
        </w:rPr>
        <w:t xml:space="preserve"> company’s response to that advice</w:t>
      </w:r>
      <w:r w:rsidR="00F67E21" w:rsidRPr="00B0448D">
        <w:rPr>
          <w:rFonts w:ascii="Arial" w:hAnsi="Arial" w:cs="Arial"/>
          <w:b/>
          <w:bCs/>
          <w:sz w:val="20"/>
          <w:szCs w:val="20"/>
        </w:rPr>
        <w:t>.</w:t>
      </w:r>
      <w:r w:rsidR="009662B3">
        <w:rPr>
          <w:rFonts w:ascii="Arial" w:hAnsi="Arial" w:cs="Arial"/>
          <w:b/>
          <w:bCs/>
          <w:sz w:val="20"/>
          <w:szCs w:val="20"/>
        </w:rPr>
        <w:t xml:space="preserve"> As some </w:t>
      </w:r>
      <w:r w:rsidR="00983B05">
        <w:rPr>
          <w:rFonts w:ascii="Arial" w:hAnsi="Arial" w:cs="Arial"/>
          <w:b/>
          <w:bCs/>
          <w:sz w:val="20"/>
          <w:szCs w:val="20"/>
        </w:rPr>
        <w:t>fund managers sometimes find it easier to follow a proxy advis</w:t>
      </w:r>
      <w:r w:rsidR="00617829">
        <w:rPr>
          <w:rFonts w:ascii="Arial" w:hAnsi="Arial" w:cs="Arial"/>
          <w:b/>
          <w:bCs/>
          <w:sz w:val="20"/>
          <w:szCs w:val="20"/>
        </w:rPr>
        <w:t>e</w:t>
      </w:r>
      <w:r w:rsidR="00983B05">
        <w:rPr>
          <w:rFonts w:ascii="Arial" w:hAnsi="Arial" w:cs="Arial"/>
          <w:b/>
          <w:bCs/>
          <w:sz w:val="20"/>
          <w:szCs w:val="20"/>
        </w:rPr>
        <w:t xml:space="preserve">r recommendation than </w:t>
      </w:r>
      <w:r w:rsidR="00FF4949">
        <w:rPr>
          <w:rFonts w:ascii="Arial" w:hAnsi="Arial" w:cs="Arial"/>
          <w:b/>
          <w:bCs/>
          <w:sz w:val="20"/>
          <w:szCs w:val="20"/>
        </w:rPr>
        <w:t xml:space="preserve">to write a note to clients explaining why they have </w:t>
      </w:r>
      <w:r w:rsidR="00CC59D2">
        <w:rPr>
          <w:rFonts w:ascii="Arial" w:hAnsi="Arial" w:cs="Arial"/>
          <w:b/>
          <w:bCs/>
          <w:sz w:val="20"/>
          <w:szCs w:val="20"/>
        </w:rPr>
        <w:t>voted contrary to a proxy advis</w:t>
      </w:r>
      <w:r w:rsidR="00617829">
        <w:rPr>
          <w:rFonts w:ascii="Arial" w:hAnsi="Arial" w:cs="Arial"/>
          <w:b/>
          <w:bCs/>
          <w:sz w:val="20"/>
          <w:szCs w:val="20"/>
        </w:rPr>
        <w:t>e</w:t>
      </w:r>
      <w:r w:rsidR="00CC59D2">
        <w:rPr>
          <w:rFonts w:ascii="Arial" w:hAnsi="Arial" w:cs="Arial"/>
          <w:b/>
          <w:bCs/>
          <w:sz w:val="20"/>
          <w:szCs w:val="20"/>
        </w:rPr>
        <w:t>r recommendation</w:t>
      </w:r>
      <w:r w:rsidR="00EF30C3">
        <w:rPr>
          <w:rFonts w:ascii="Arial" w:hAnsi="Arial" w:cs="Arial"/>
          <w:b/>
          <w:bCs/>
          <w:sz w:val="20"/>
          <w:szCs w:val="20"/>
        </w:rPr>
        <w:t xml:space="preserve">, this additional recommendation </w:t>
      </w:r>
      <w:r w:rsidR="00212491">
        <w:rPr>
          <w:rFonts w:ascii="Arial" w:hAnsi="Arial" w:cs="Arial"/>
          <w:b/>
          <w:bCs/>
          <w:sz w:val="20"/>
          <w:szCs w:val="20"/>
        </w:rPr>
        <w:t>is even more important.</w:t>
      </w:r>
    </w:p>
    <w:p w14:paraId="60CE3852" w14:textId="3E991083" w:rsidR="003307B2" w:rsidRPr="008F5772" w:rsidRDefault="00C36E8F" w:rsidP="000867E2">
      <w:pPr>
        <w:rPr>
          <w:rFonts w:ascii="Arial" w:hAnsi="Arial" w:cs="Arial"/>
          <w:b/>
          <w:bCs/>
          <w:sz w:val="20"/>
          <w:szCs w:val="20"/>
        </w:rPr>
      </w:pPr>
      <w:r w:rsidRPr="008F5772">
        <w:rPr>
          <w:rFonts w:ascii="Arial" w:hAnsi="Arial" w:cs="Arial"/>
          <w:b/>
          <w:bCs/>
          <w:sz w:val="20"/>
          <w:szCs w:val="20"/>
        </w:rPr>
        <w:t>A</w:t>
      </w:r>
      <w:r w:rsidR="003307B2" w:rsidRPr="008F5772">
        <w:rPr>
          <w:rFonts w:ascii="Arial" w:hAnsi="Arial" w:cs="Arial"/>
          <w:b/>
          <w:bCs/>
          <w:sz w:val="20"/>
          <w:szCs w:val="20"/>
        </w:rPr>
        <w:t>ccountability</w:t>
      </w:r>
    </w:p>
    <w:p w14:paraId="7A13D32C" w14:textId="77777777" w:rsidR="00D31C5D" w:rsidRDefault="00426E3E" w:rsidP="000867E2">
      <w:pPr>
        <w:rPr>
          <w:rFonts w:ascii="Arial" w:hAnsi="Arial" w:cs="Arial"/>
          <w:sz w:val="20"/>
          <w:szCs w:val="20"/>
        </w:rPr>
      </w:pPr>
      <w:r w:rsidRPr="000867E2">
        <w:rPr>
          <w:rFonts w:ascii="Arial" w:hAnsi="Arial" w:cs="Arial"/>
          <w:sz w:val="20"/>
          <w:szCs w:val="20"/>
        </w:rPr>
        <w:t>As part of our in-principle support for greater accountability of proxy advice, AIRA supports Option 5, which if implemented, would mean proxy advisers would be required to obtain an Australian Financial Services License (AFSL) for the provision of proxy advice</w:t>
      </w:r>
      <w:r w:rsidR="003F1A9C">
        <w:rPr>
          <w:rFonts w:ascii="Arial" w:hAnsi="Arial" w:cs="Arial"/>
          <w:sz w:val="20"/>
          <w:szCs w:val="20"/>
        </w:rPr>
        <w:t xml:space="preserve"> on all matters, financial or otherwise</w:t>
      </w:r>
      <w:r w:rsidRPr="000867E2">
        <w:rPr>
          <w:rFonts w:ascii="Arial" w:hAnsi="Arial" w:cs="Arial"/>
          <w:sz w:val="20"/>
          <w:szCs w:val="20"/>
        </w:rPr>
        <w:t xml:space="preserve">. </w:t>
      </w:r>
      <w:r w:rsidR="00330B1B" w:rsidRPr="000867E2">
        <w:rPr>
          <w:rFonts w:ascii="Arial" w:hAnsi="Arial" w:cs="Arial"/>
          <w:sz w:val="20"/>
          <w:szCs w:val="20"/>
        </w:rPr>
        <w:t>We agree that this</w:t>
      </w:r>
      <w:r w:rsidRPr="000867E2">
        <w:rPr>
          <w:rFonts w:ascii="Arial" w:hAnsi="Arial" w:cs="Arial"/>
          <w:sz w:val="20"/>
          <w:szCs w:val="20"/>
        </w:rPr>
        <w:t xml:space="preserve"> would ensure </w:t>
      </w:r>
      <w:r w:rsidR="002D0EEB" w:rsidRPr="000867E2">
        <w:rPr>
          <w:rFonts w:ascii="Arial" w:hAnsi="Arial" w:cs="Arial"/>
          <w:sz w:val="20"/>
          <w:szCs w:val="20"/>
        </w:rPr>
        <w:t xml:space="preserve">proxy advisers </w:t>
      </w:r>
      <w:r w:rsidRPr="000867E2">
        <w:rPr>
          <w:rFonts w:ascii="Arial" w:hAnsi="Arial" w:cs="Arial"/>
          <w:sz w:val="20"/>
          <w:szCs w:val="20"/>
        </w:rPr>
        <w:t>making assessments on issues</w:t>
      </w:r>
      <w:r w:rsidR="002D0EEB" w:rsidRPr="000867E2">
        <w:rPr>
          <w:rFonts w:ascii="Arial" w:hAnsi="Arial" w:cs="Arial"/>
          <w:sz w:val="20"/>
          <w:szCs w:val="20"/>
        </w:rPr>
        <w:t xml:space="preserve"> </w:t>
      </w:r>
      <w:r w:rsidRPr="000867E2">
        <w:rPr>
          <w:rFonts w:ascii="Arial" w:hAnsi="Arial" w:cs="Arial"/>
          <w:sz w:val="20"/>
          <w:szCs w:val="20"/>
        </w:rPr>
        <w:t>that have a material impact on the conduct of business in Australia with appropriate regulatory</w:t>
      </w:r>
      <w:r w:rsidR="002D0EEB" w:rsidRPr="000867E2">
        <w:rPr>
          <w:rFonts w:ascii="Arial" w:hAnsi="Arial" w:cs="Arial"/>
          <w:sz w:val="20"/>
          <w:szCs w:val="20"/>
        </w:rPr>
        <w:t xml:space="preserve"> </w:t>
      </w:r>
      <w:r w:rsidRPr="000867E2">
        <w:rPr>
          <w:rFonts w:ascii="Arial" w:hAnsi="Arial" w:cs="Arial"/>
          <w:sz w:val="20"/>
          <w:szCs w:val="20"/>
        </w:rPr>
        <w:t>oversight and the necessary care and skill required.</w:t>
      </w:r>
      <w:r w:rsidR="00407914">
        <w:rPr>
          <w:rFonts w:ascii="Arial" w:hAnsi="Arial" w:cs="Arial"/>
          <w:sz w:val="20"/>
          <w:szCs w:val="20"/>
        </w:rPr>
        <w:t xml:space="preserve"> </w:t>
      </w:r>
    </w:p>
    <w:p w14:paraId="4B62A2DC" w14:textId="71C23AAC" w:rsidR="00EF2D84" w:rsidRPr="00B0448D" w:rsidRDefault="0017345E" w:rsidP="000867E2">
      <w:pPr>
        <w:rPr>
          <w:rFonts w:ascii="Arial" w:hAnsi="Arial" w:cs="Arial"/>
          <w:b/>
          <w:bCs/>
          <w:sz w:val="20"/>
          <w:szCs w:val="20"/>
        </w:rPr>
      </w:pPr>
      <w:r w:rsidRPr="00B0448D">
        <w:rPr>
          <w:rFonts w:ascii="Arial" w:hAnsi="Arial" w:cs="Arial"/>
          <w:b/>
          <w:bCs/>
          <w:sz w:val="20"/>
          <w:szCs w:val="20"/>
        </w:rPr>
        <w:t xml:space="preserve">Many fund managers and superannuation funds are </w:t>
      </w:r>
      <w:r w:rsidR="00BD65EC" w:rsidRPr="00B0448D">
        <w:rPr>
          <w:rFonts w:ascii="Arial" w:hAnsi="Arial" w:cs="Arial"/>
          <w:b/>
          <w:bCs/>
          <w:sz w:val="20"/>
          <w:szCs w:val="20"/>
        </w:rPr>
        <w:t xml:space="preserve">already </w:t>
      </w:r>
      <w:r w:rsidRPr="00B0448D">
        <w:rPr>
          <w:rFonts w:ascii="Arial" w:hAnsi="Arial" w:cs="Arial"/>
          <w:b/>
          <w:bCs/>
          <w:sz w:val="20"/>
          <w:szCs w:val="20"/>
        </w:rPr>
        <w:t>under resourced</w:t>
      </w:r>
      <w:r w:rsidR="00BD65EC" w:rsidRPr="00B0448D">
        <w:rPr>
          <w:rFonts w:ascii="Arial" w:hAnsi="Arial" w:cs="Arial"/>
          <w:b/>
          <w:bCs/>
          <w:sz w:val="20"/>
          <w:szCs w:val="20"/>
        </w:rPr>
        <w:t xml:space="preserve"> to fulfill their stewardship obligations</w:t>
      </w:r>
      <w:r w:rsidR="00824BB6" w:rsidRPr="00B0448D">
        <w:rPr>
          <w:rFonts w:ascii="Arial" w:hAnsi="Arial" w:cs="Arial"/>
          <w:b/>
          <w:bCs/>
          <w:sz w:val="20"/>
          <w:szCs w:val="20"/>
        </w:rPr>
        <w:t>, including considering the issues around proxy voting</w:t>
      </w:r>
      <w:r w:rsidR="000A4721" w:rsidRPr="00B0448D">
        <w:rPr>
          <w:rFonts w:ascii="Arial" w:hAnsi="Arial" w:cs="Arial"/>
          <w:b/>
          <w:bCs/>
          <w:sz w:val="20"/>
          <w:szCs w:val="20"/>
        </w:rPr>
        <w:t>. It has been suggested</w:t>
      </w:r>
      <w:r w:rsidR="00F37009" w:rsidRPr="00B0448D">
        <w:rPr>
          <w:rFonts w:ascii="Arial" w:hAnsi="Arial" w:cs="Arial"/>
          <w:b/>
          <w:bCs/>
          <w:sz w:val="20"/>
          <w:szCs w:val="20"/>
        </w:rPr>
        <w:t>, therefore,</w:t>
      </w:r>
      <w:r w:rsidR="000A4721" w:rsidRPr="00B0448D">
        <w:rPr>
          <w:rFonts w:ascii="Arial" w:hAnsi="Arial" w:cs="Arial"/>
          <w:b/>
          <w:bCs/>
          <w:sz w:val="20"/>
          <w:szCs w:val="20"/>
        </w:rPr>
        <w:t xml:space="preserve"> </w:t>
      </w:r>
      <w:r w:rsidR="008451E0" w:rsidRPr="00B0448D">
        <w:rPr>
          <w:rFonts w:ascii="Arial" w:hAnsi="Arial" w:cs="Arial"/>
          <w:b/>
          <w:bCs/>
          <w:sz w:val="20"/>
          <w:szCs w:val="20"/>
        </w:rPr>
        <w:t>that the more shareholder resolutions there are</w:t>
      </w:r>
      <w:r w:rsidR="00C6791A" w:rsidRPr="00B0448D">
        <w:rPr>
          <w:rFonts w:ascii="Arial" w:hAnsi="Arial" w:cs="Arial"/>
          <w:b/>
          <w:bCs/>
          <w:sz w:val="20"/>
          <w:szCs w:val="20"/>
        </w:rPr>
        <w:t xml:space="preserve"> for consideration at company AGMs, then the more </w:t>
      </w:r>
      <w:r w:rsidR="00F37009" w:rsidRPr="00B0448D">
        <w:rPr>
          <w:rFonts w:ascii="Arial" w:hAnsi="Arial" w:cs="Arial"/>
          <w:b/>
          <w:bCs/>
          <w:sz w:val="20"/>
          <w:szCs w:val="20"/>
        </w:rPr>
        <w:t xml:space="preserve">this </w:t>
      </w:r>
      <w:r w:rsidR="004510C6" w:rsidRPr="00B0448D">
        <w:rPr>
          <w:rFonts w:ascii="Arial" w:hAnsi="Arial" w:cs="Arial"/>
          <w:b/>
          <w:bCs/>
          <w:sz w:val="20"/>
          <w:szCs w:val="20"/>
        </w:rPr>
        <w:t>shifts the balance of power to proxy advis</w:t>
      </w:r>
      <w:r w:rsidR="00617829">
        <w:rPr>
          <w:rFonts w:ascii="Arial" w:hAnsi="Arial" w:cs="Arial"/>
          <w:b/>
          <w:bCs/>
          <w:sz w:val="20"/>
          <w:szCs w:val="20"/>
        </w:rPr>
        <w:t>e</w:t>
      </w:r>
      <w:r w:rsidR="004510C6" w:rsidRPr="00B0448D">
        <w:rPr>
          <w:rFonts w:ascii="Arial" w:hAnsi="Arial" w:cs="Arial"/>
          <w:b/>
          <w:bCs/>
          <w:sz w:val="20"/>
          <w:szCs w:val="20"/>
        </w:rPr>
        <w:t>rs.</w:t>
      </w:r>
    </w:p>
    <w:p w14:paraId="4BEDA2DD" w14:textId="6741EA7D" w:rsidR="003307B2" w:rsidRPr="008F5772" w:rsidRDefault="003307B2" w:rsidP="000867E2">
      <w:pPr>
        <w:rPr>
          <w:rFonts w:ascii="Arial" w:hAnsi="Arial" w:cs="Arial"/>
          <w:b/>
          <w:bCs/>
          <w:sz w:val="20"/>
          <w:szCs w:val="20"/>
        </w:rPr>
      </w:pPr>
      <w:r w:rsidRPr="008F5772">
        <w:rPr>
          <w:rFonts w:ascii="Arial" w:hAnsi="Arial" w:cs="Arial"/>
          <w:b/>
          <w:bCs/>
          <w:sz w:val="20"/>
          <w:szCs w:val="20"/>
        </w:rPr>
        <w:t>Best practice standards</w:t>
      </w:r>
    </w:p>
    <w:p w14:paraId="76030D71" w14:textId="39BABCE6" w:rsidR="000867E2" w:rsidRDefault="002D0EEB" w:rsidP="000867E2">
      <w:pPr>
        <w:rPr>
          <w:rFonts w:ascii="Arial" w:hAnsi="Arial" w:cs="Arial"/>
          <w:sz w:val="20"/>
          <w:szCs w:val="20"/>
        </w:rPr>
      </w:pPr>
      <w:r w:rsidRPr="000867E2">
        <w:rPr>
          <w:rFonts w:ascii="Arial" w:hAnsi="Arial" w:cs="Arial"/>
          <w:sz w:val="20"/>
          <w:szCs w:val="20"/>
        </w:rPr>
        <w:t>Lastly, AIRA has for many year</w:t>
      </w:r>
      <w:r w:rsidR="00330B1B" w:rsidRPr="000867E2">
        <w:rPr>
          <w:rFonts w:ascii="Arial" w:hAnsi="Arial" w:cs="Arial"/>
          <w:sz w:val="20"/>
          <w:szCs w:val="20"/>
        </w:rPr>
        <w:t xml:space="preserve">s </w:t>
      </w:r>
      <w:r w:rsidRPr="000867E2">
        <w:rPr>
          <w:rFonts w:ascii="Arial" w:hAnsi="Arial" w:cs="Arial"/>
          <w:sz w:val="20"/>
          <w:szCs w:val="20"/>
        </w:rPr>
        <w:t xml:space="preserve">argued </w:t>
      </w:r>
      <w:r w:rsidR="00330B1B" w:rsidRPr="000867E2">
        <w:rPr>
          <w:rFonts w:ascii="Arial" w:hAnsi="Arial" w:cs="Arial"/>
          <w:sz w:val="20"/>
          <w:szCs w:val="20"/>
        </w:rPr>
        <w:t xml:space="preserve">for in-depth reporting against international best practice standards, and for these reports to me made publicly available. </w:t>
      </w:r>
      <w:r w:rsidR="00EF2D84" w:rsidRPr="000867E2">
        <w:rPr>
          <w:rFonts w:ascii="Arial" w:hAnsi="Arial" w:cs="Arial"/>
          <w:sz w:val="20"/>
          <w:szCs w:val="20"/>
          <w:lang w:val="en-AU"/>
        </w:rPr>
        <w:t>As such,</w:t>
      </w:r>
      <w:r w:rsidR="00330B1B" w:rsidRPr="000867E2">
        <w:rPr>
          <w:rFonts w:ascii="Arial" w:hAnsi="Arial" w:cs="Arial"/>
          <w:sz w:val="20"/>
          <w:szCs w:val="20"/>
        </w:rPr>
        <w:t xml:space="preserve"> AIRA recommends that</w:t>
      </w:r>
      <w:r w:rsidR="00EF2D84" w:rsidRPr="000867E2">
        <w:rPr>
          <w:rFonts w:ascii="Arial" w:hAnsi="Arial" w:cs="Arial"/>
          <w:sz w:val="20"/>
          <w:szCs w:val="20"/>
          <w:lang w:val="en-AU"/>
        </w:rPr>
        <w:t xml:space="preserve"> proxy</w:t>
      </w:r>
      <w:r w:rsidR="00EF2D84" w:rsidRPr="000867E2">
        <w:rPr>
          <w:rFonts w:ascii="Arial" w:hAnsi="Arial" w:cs="Arial"/>
          <w:sz w:val="20"/>
          <w:szCs w:val="20"/>
        </w:rPr>
        <w:t xml:space="preserve"> advis</w:t>
      </w:r>
      <w:r w:rsidR="00591F03" w:rsidRPr="000867E2">
        <w:rPr>
          <w:rFonts w:ascii="Arial" w:hAnsi="Arial" w:cs="Arial"/>
          <w:sz w:val="20"/>
          <w:szCs w:val="20"/>
        </w:rPr>
        <w:t>e</w:t>
      </w:r>
      <w:r w:rsidR="00EF2D84" w:rsidRPr="000867E2">
        <w:rPr>
          <w:rFonts w:ascii="Arial" w:hAnsi="Arial" w:cs="Arial"/>
          <w:sz w:val="20"/>
          <w:szCs w:val="20"/>
        </w:rPr>
        <w:t xml:space="preserve">rs should be required to </w:t>
      </w:r>
      <w:r w:rsidR="009678F5">
        <w:rPr>
          <w:rFonts w:ascii="Arial" w:hAnsi="Arial" w:cs="Arial"/>
          <w:sz w:val="20"/>
          <w:szCs w:val="20"/>
        </w:rPr>
        <w:t xml:space="preserve">ratify the </w:t>
      </w:r>
      <w:r w:rsidR="009678F5" w:rsidRPr="00B0448D">
        <w:rPr>
          <w:rFonts w:ascii="Arial" w:hAnsi="Arial" w:cs="Arial"/>
          <w:i/>
          <w:iCs/>
          <w:sz w:val="20"/>
          <w:szCs w:val="20"/>
        </w:rPr>
        <w:t>Best Practice Principles for Providers of Shareholder Voting Research &amp; Analysis</w:t>
      </w:r>
      <w:r w:rsidR="00EF2D84" w:rsidRPr="000867E2">
        <w:rPr>
          <w:rFonts w:ascii="Arial" w:hAnsi="Arial" w:cs="Arial"/>
          <w:sz w:val="20"/>
          <w:szCs w:val="20"/>
        </w:rPr>
        <w:t xml:space="preserve"> and make an annual statement of compliance with the</w:t>
      </w:r>
      <w:r w:rsidR="00330B1B" w:rsidRPr="000867E2">
        <w:rPr>
          <w:rFonts w:ascii="Arial" w:hAnsi="Arial" w:cs="Arial"/>
          <w:sz w:val="20"/>
          <w:szCs w:val="20"/>
        </w:rPr>
        <w:t>se</w:t>
      </w:r>
      <w:r w:rsidR="00EF2D84" w:rsidRPr="000867E2">
        <w:rPr>
          <w:rFonts w:ascii="Arial" w:hAnsi="Arial" w:cs="Arial"/>
          <w:sz w:val="20"/>
          <w:szCs w:val="20"/>
        </w:rPr>
        <w:t xml:space="preserve"> principles. Likewise, superannuation funds, fund managers and other institutional investors should be required to </w:t>
      </w:r>
      <w:r w:rsidR="00330B1B" w:rsidRPr="000867E2">
        <w:rPr>
          <w:rFonts w:ascii="Arial" w:hAnsi="Arial" w:cs="Arial"/>
          <w:sz w:val="20"/>
          <w:szCs w:val="20"/>
        </w:rPr>
        <w:t>ratify</w:t>
      </w:r>
      <w:r w:rsidR="00EF2D84" w:rsidRPr="000867E2">
        <w:rPr>
          <w:rFonts w:ascii="Arial" w:hAnsi="Arial" w:cs="Arial"/>
          <w:sz w:val="20"/>
          <w:szCs w:val="20"/>
        </w:rPr>
        <w:t xml:space="preserve"> a stewardship code and provide an annual statement of compliance. </w:t>
      </w:r>
      <w:r w:rsidR="003F1A9C">
        <w:rPr>
          <w:rFonts w:ascii="Arial" w:hAnsi="Arial" w:cs="Arial"/>
          <w:sz w:val="20"/>
          <w:szCs w:val="20"/>
        </w:rPr>
        <w:t>These Principles are attached to this submission for Treasury’s consideration.</w:t>
      </w:r>
    </w:p>
    <w:p w14:paraId="124E281E" w14:textId="657449B7" w:rsidR="002B6D28" w:rsidRPr="000867E2" w:rsidRDefault="002B6D28" w:rsidP="000867E2">
      <w:pPr>
        <w:rPr>
          <w:rFonts w:ascii="Arial" w:hAnsi="Arial" w:cs="Arial"/>
          <w:sz w:val="20"/>
          <w:szCs w:val="20"/>
        </w:rPr>
      </w:pPr>
      <w:r w:rsidRPr="000867E2">
        <w:rPr>
          <w:rFonts w:ascii="Arial" w:hAnsi="Arial" w:cs="Arial"/>
          <w:sz w:val="20"/>
          <w:szCs w:val="20"/>
        </w:rPr>
        <w:t>Dissension</w:t>
      </w:r>
      <w:r>
        <w:rPr>
          <w:rFonts w:ascii="Arial" w:hAnsi="Arial" w:cs="Arial"/>
          <w:sz w:val="20"/>
          <w:szCs w:val="20"/>
        </w:rPr>
        <w:t xml:space="preserve"> and</w:t>
      </w:r>
      <w:r w:rsidRPr="000867E2">
        <w:rPr>
          <w:rFonts w:ascii="Arial" w:hAnsi="Arial" w:cs="Arial"/>
          <w:sz w:val="20"/>
          <w:szCs w:val="20"/>
        </w:rPr>
        <w:t xml:space="preserve"> disagreement</w:t>
      </w:r>
      <w:r>
        <w:rPr>
          <w:rFonts w:ascii="Arial" w:hAnsi="Arial" w:cs="Arial"/>
          <w:sz w:val="20"/>
          <w:szCs w:val="20"/>
        </w:rPr>
        <w:t xml:space="preserve"> are essential to the success of </w:t>
      </w:r>
      <w:r w:rsidRPr="000867E2">
        <w:rPr>
          <w:rFonts w:ascii="Arial" w:hAnsi="Arial" w:cs="Arial"/>
          <w:sz w:val="20"/>
          <w:szCs w:val="20"/>
        </w:rPr>
        <w:t xml:space="preserve">our modern economic and financial system. </w:t>
      </w:r>
      <w:r>
        <w:rPr>
          <w:rFonts w:ascii="Arial" w:hAnsi="Arial" w:cs="Arial"/>
          <w:sz w:val="20"/>
          <w:szCs w:val="20"/>
        </w:rPr>
        <w:t>Such contests must remain</w:t>
      </w:r>
      <w:r w:rsidRPr="000867E2">
        <w:rPr>
          <w:rFonts w:ascii="Arial" w:hAnsi="Arial" w:cs="Arial"/>
          <w:sz w:val="20"/>
          <w:szCs w:val="20"/>
        </w:rPr>
        <w:t xml:space="preserve"> </w:t>
      </w:r>
      <w:r>
        <w:rPr>
          <w:rFonts w:ascii="Arial" w:hAnsi="Arial" w:cs="Arial"/>
          <w:sz w:val="20"/>
          <w:szCs w:val="20"/>
        </w:rPr>
        <w:t xml:space="preserve">a core </w:t>
      </w:r>
      <w:r w:rsidRPr="000867E2">
        <w:rPr>
          <w:rFonts w:ascii="Arial" w:hAnsi="Arial" w:cs="Arial"/>
          <w:sz w:val="20"/>
          <w:szCs w:val="20"/>
        </w:rPr>
        <w:t xml:space="preserve">tenet of Australia’s </w:t>
      </w:r>
      <w:r w:rsidR="006F3545">
        <w:rPr>
          <w:rFonts w:ascii="Arial" w:hAnsi="Arial" w:cs="Arial"/>
          <w:sz w:val="20"/>
          <w:szCs w:val="20"/>
        </w:rPr>
        <w:t xml:space="preserve">capital </w:t>
      </w:r>
      <w:r w:rsidR="006F3545" w:rsidRPr="000867E2">
        <w:rPr>
          <w:rFonts w:ascii="Arial" w:hAnsi="Arial" w:cs="Arial"/>
          <w:sz w:val="20"/>
          <w:szCs w:val="20"/>
        </w:rPr>
        <w:t>markets</w:t>
      </w:r>
      <w:r w:rsidRPr="000867E2">
        <w:rPr>
          <w:rFonts w:ascii="Arial" w:hAnsi="Arial" w:cs="Arial"/>
          <w:sz w:val="20"/>
          <w:szCs w:val="20"/>
        </w:rPr>
        <w:t xml:space="preserve">. </w:t>
      </w:r>
      <w:r>
        <w:rPr>
          <w:rFonts w:ascii="Arial" w:hAnsi="Arial" w:cs="Arial"/>
          <w:sz w:val="20"/>
          <w:szCs w:val="20"/>
        </w:rPr>
        <w:t>While this consultation and our submission focus on strengthening the accountability and transparency of proxy advice, the boards and directors of our listed companies must also continue to be held to account by their shareholders. B</w:t>
      </w:r>
      <w:r w:rsidRPr="000867E2">
        <w:rPr>
          <w:rFonts w:ascii="Arial" w:hAnsi="Arial" w:cs="Arial"/>
          <w:sz w:val="20"/>
          <w:szCs w:val="20"/>
        </w:rPr>
        <w:t xml:space="preserve">oards </w:t>
      </w:r>
      <w:r>
        <w:rPr>
          <w:rFonts w:ascii="Arial" w:hAnsi="Arial" w:cs="Arial"/>
          <w:sz w:val="20"/>
          <w:szCs w:val="20"/>
        </w:rPr>
        <w:t xml:space="preserve">must </w:t>
      </w:r>
      <w:r w:rsidRPr="000867E2">
        <w:rPr>
          <w:rFonts w:ascii="Arial" w:hAnsi="Arial" w:cs="Arial"/>
          <w:sz w:val="20"/>
          <w:szCs w:val="20"/>
        </w:rPr>
        <w:t>act in the best interests of shareholders, in good faith, and with the care and diligence required of them in their fiduciary position. No reforms being considered by Treasury should dilute this proposition.</w:t>
      </w:r>
    </w:p>
    <w:p w14:paraId="20F4692A" w14:textId="77777777" w:rsidR="00F82D19" w:rsidRDefault="00F82D19" w:rsidP="000867E2">
      <w:pPr>
        <w:rPr>
          <w:rFonts w:ascii="Arial" w:hAnsi="Arial" w:cs="Arial"/>
          <w:b/>
          <w:bCs/>
          <w:color w:val="A50021"/>
          <w:sz w:val="20"/>
          <w:szCs w:val="20"/>
        </w:rPr>
      </w:pPr>
    </w:p>
    <w:p w14:paraId="6D8779F0" w14:textId="77777777" w:rsidR="00F82D19" w:rsidRDefault="00F82D19" w:rsidP="000867E2">
      <w:pPr>
        <w:rPr>
          <w:rFonts w:ascii="Arial" w:hAnsi="Arial" w:cs="Arial"/>
          <w:b/>
          <w:bCs/>
          <w:color w:val="A50021"/>
          <w:sz w:val="20"/>
          <w:szCs w:val="20"/>
        </w:rPr>
      </w:pPr>
    </w:p>
    <w:p w14:paraId="089948CE" w14:textId="77777777" w:rsidR="00F82D19" w:rsidRDefault="00F82D19" w:rsidP="000867E2">
      <w:pPr>
        <w:rPr>
          <w:rFonts w:ascii="Arial" w:hAnsi="Arial" w:cs="Arial"/>
          <w:b/>
          <w:bCs/>
          <w:color w:val="A50021"/>
          <w:sz w:val="20"/>
          <w:szCs w:val="20"/>
        </w:rPr>
      </w:pPr>
    </w:p>
    <w:p w14:paraId="130398C9" w14:textId="77777777" w:rsidR="00F82D19" w:rsidRDefault="00F82D19" w:rsidP="000867E2">
      <w:pPr>
        <w:rPr>
          <w:rFonts w:ascii="Arial" w:hAnsi="Arial" w:cs="Arial"/>
          <w:b/>
          <w:bCs/>
          <w:color w:val="A50021"/>
          <w:sz w:val="20"/>
          <w:szCs w:val="20"/>
        </w:rPr>
      </w:pPr>
    </w:p>
    <w:p w14:paraId="50B3C984" w14:textId="77777777" w:rsidR="00F82D19" w:rsidRDefault="00F82D19" w:rsidP="000867E2">
      <w:pPr>
        <w:rPr>
          <w:rFonts w:ascii="Arial" w:hAnsi="Arial" w:cs="Arial"/>
          <w:b/>
          <w:bCs/>
          <w:color w:val="A50021"/>
          <w:sz w:val="20"/>
          <w:szCs w:val="20"/>
        </w:rPr>
      </w:pPr>
    </w:p>
    <w:p w14:paraId="5FA17296" w14:textId="77777777" w:rsidR="00F82D19" w:rsidRDefault="00F82D19" w:rsidP="000867E2">
      <w:pPr>
        <w:rPr>
          <w:rFonts w:ascii="Arial" w:hAnsi="Arial" w:cs="Arial"/>
          <w:b/>
          <w:bCs/>
          <w:color w:val="A50021"/>
          <w:sz w:val="20"/>
          <w:szCs w:val="20"/>
        </w:rPr>
      </w:pPr>
    </w:p>
    <w:p w14:paraId="0C6A3C80" w14:textId="77777777" w:rsidR="00F82D19" w:rsidRDefault="00F82D19" w:rsidP="000867E2">
      <w:pPr>
        <w:rPr>
          <w:rFonts w:ascii="Arial" w:hAnsi="Arial" w:cs="Arial"/>
          <w:b/>
          <w:bCs/>
          <w:color w:val="A50021"/>
          <w:sz w:val="20"/>
          <w:szCs w:val="20"/>
        </w:rPr>
      </w:pPr>
    </w:p>
    <w:p w14:paraId="22EDA0FA" w14:textId="77777777" w:rsidR="00F82D19" w:rsidRDefault="00F82D19" w:rsidP="000867E2">
      <w:pPr>
        <w:rPr>
          <w:rFonts w:ascii="Arial" w:hAnsi="Arial" w:cs="Arial"/>
          <w:b/>
          <w:bCs/>
          <w:color w:val="A50021"/>
          <w:sz w:val="20"/>
          <w:szCs w:val="20"/>
        </w:rPr>
      </w:pPr>
    </w:p>
    <w:p w14:paraId="2D76324C" w14:textId="77777777" w:rsidR="00F82D19" w:rsidRDefault="00F82D19" w:rsidP="000867E2">
      <w:pPr>
        <w:rPr>
          <w:rFonts w:ascii="Arial" w:hAnsi="Arial" w:cs="Arial"/>
          <w:b/>
          <w:bCs/>
          <w:color w:val="A50021"/>
          <w:sz w:val="20"/>
          <w:szCs w:val="20"/>
        </w:rPr>
      </w:pPr>
    </w:p>
    <w:p w14:paraId="7DDBB1E0" w14:textId="11455FBB" w:rsidR="00426E3E" w:rsidRPr="000867E2" w:rsidRDefault="00EF2D84" w:rsidP="000867E2">
      <w:pPr>
        <w:rPr>
          <w:rFonts w:ascii="Arial" w:hAnsi="Arial" w:cs="Arial"/>
          <w:b/>
          <w:bCs/>
          <w:color w:val="A50021"/>
          <w:sz w:val="20"/>
          <w:szCs w:val="20"/>
        </w:rPr>
      </w:pPr>
      <w:r w:rsidRPr="000867E2">
        <w:rPr>
          <w:rFonts w:ascii="Arial" w:hAnsi="Arial" w:cs="Arial"/>
          <w:b/>
          <w:bCs/>
          <w:color w:val="A50021"/>
          <w:sz w:val="20"/>
          <w:szCs w:val="20"/>
        </w:rPr>
        <w:t>Response to consultation questions</w:t>
      </w:r>
    </w:p>
    <w:p w14:paraId="76CD04CA" w14:textId="60BE59E0" w:rsidR="00426E3E" w:rsidRPr="000867E2" w:rsidRDefault="000867E2" w:rsidP="000867E2">
      <w:pPr>
        <w:rPr>
          <w:rFonts w:ascii="Arial" w:hAnsi="Arial" w:cs="Arial"/>
          <w:sz w:val="20"/>
          <w:szCs w:val="20"/>
        </w:rPr>
      </w:pPr>
      <w:r w:rsidRPr="000867E2">
        <w:rPr>
          <w:rFonts w:ascii="Arial" w:hAnsi="Arial" w:cs="Arial"/>
          <w:noProof/>
          <w:sz w:val="20"/>
          <w:szCs w:val="20"/>
        </w:rPr>
        <mc:AlternateContent>
          <mc:Choice Requires="wps">
            <w:drawing>
              <wp:anchor distT="45720" distB="45720" distL="114300" distR="114300" simplePos="0" relativeHeight="251628032" behindDoc="0" locked="0" layoutInCell="1" allowOverlap="1" wp14:anchorId="21D58F73" wp14:editId="25B5741B">
                <wp:simplePos x="0" y="0"/>
                <wp:positionH relativeFrom="column">
                  <wp:posOffset>-6350</wp:posOffset>
                </wp:positionH>
                <wp:positionV relativeFrom="paragraph">
                  <wp:posOffset>628650</wp:posOffset>
                </wp:positionV>
                <wp:extent cx="5695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5AF49733" w14:textId="6C843CF4" w:rsidR="008D2DBF" w:rsidRPr="000867E2" w:rsidRDefault="008D2DBF" w:rsidP="000867E2">
                            <w:pPr>
                              <w:rPr>
                                <w:rFonts w:ascii="Arial" w:hAnsi="Arial" w:cs="Arial"/>
                                <w:i/>
                                <w:iCs/>
                                <w:sz w:val="20"/>
                                <w:szCs w:val="20"/>
                              </w:rPr>
                            </w:pPr>
                            <w:r w:rsidRPr="000867E2">
                              <w:rPr>
                                <w:rFonts w:ascii="Arial" w:hAnsi="Arial" w:cs="Arial"/>
                                <w:b/>
                                <w:bCs/>
                                <w:sz w:val="20"/>
                                <w:szCs w:val="20"/>
                              </w:rPr>
                              <w:t>Option 1</w:t>
                            </w:r>
                            <w:r w:rsidRPr="000867E2">
                              <w:rPr>
                                <w:rFonts w:ascii="Arial" w:hAnsi="Arial" w:cs="Arial"/>
                                <w:sz w:val="20"/>
                                <w:szCs w:val="20"/>
                              </w:rPr>
                              <w:t xml:space="preserve">: </w:t>
                            </w:r>
                            <w:r w:rsidRPr="000867E2">
                              <w:rPr>
                                <w:rFonts w:ascii="Arial" w:hAnsi="Arial" w:cs="Arial"/>
                                <w:i/>
                                <w:iCs/>
                                <w:sz w:val="20"/>
                                <w:szCs w:val="20"/>
                              </w:rPr>
                              <w:t>Improved disclosure of trustee voting. Under this option, superannuation funds would be required to disclose more detailed information in relation to their voting policies and actions for each financial year. The details to be disclosed could include how votes were exercised, whether any advice was received from a proxy adviser and who provided the advice.</w:t>
                            </w:r>
                          </w:p>
                          <w:p w14:paraId="2541803E" w14:textId="282356B3" w:rsidR="008D2DBF" w:rsidRPr="000867E2" w:rsidRDefault="008D2DBF" w:rsidP="000867E2">
                            <w:pPr>
                              <w:rPr>
                                <w:rFonts w:ascii="Arial" w:hAnsi="Arial" w:cs="Arial"/>
                                <w:i/>
                                <w:iCs/>
                                <w:sz w:val="20"/>
                                <w:szCs w:val="20"/>
                              </w:rPr>
                            </w:pPr>
                            <w:r w:rsidRPr="000867E2">
                              <w:rPr>
                                <w:rFonts w:ascii="Arial" w:hAnsi="Arial" w:cs="Arial"/>
                                <w:i/>
                                <w:iCs/>
                                <w:sz w:val="20"/>
                                <w:szCs w:val="20"/>
                              </w:rPr>
                              <w:t>If proxy advice is received, disclosure could include whether the voting actions taken were consistent with the proxy advice.</w:t>
                            </w:r>
                          </w:p>
                          <w:p w14:paraId="531B871E" w14:textId="6EC1E6D1" w:rsidR="008D2DBF" w:rsidRPr="000867E2" w:rsidRDefault="008D2DBF" w:rsidP="000867E2">
                            <w:pPr>
                              <w:rPr>
                                <w:rFonts w:ascii="Arial" w:hAnsi="Arial" w:cs="Arial"/>
                                <w:i/>
                                <w:iCs/>
                                <w:sz w:val="20"/>
                                <w:szCs w:val="20"/>
                              </w:rPr>
                            </w:pPr>
                            <w:r w:rsidRPr="000867E2">
                              <w:rPr>
                                <w:rFonts w:ascii="Arial" w:hAnsi="Arial" w:cs="Arial"/>
                                <w:b/>
                                <w:bCs/>
                                <w:sz w:val="20"/>
                                <w:szCs w:val="20"/>
                              </w:rPr>
                              <w:t>Option 2:</w:t>
                            </w:r>
                            <w:r w:rsidRPr="000867E2">
                              <w:rPr>
                                <w:rFonts w:ascii="Arial" w:hAnsi="Arial" w:cs="Arial"/>
                                <w:sz w:val="20"/>
                                <w:szCs w:val="20"/>
                              </w:rPr>
                              <w:t xml:space="preserve"> </w:t>
                            </w:r>
                            <w:r w:rsidRPr="000867E2">
                              <w:rPr>
                                <w:rFonts w:ascii="Arial" w:hAnsi="Arial" w:cs="Arial"/>
                                <w:i/>
                                <w:iCs/>
                                <w:sz w:val="20"/>
                                <w:szCs w:val="20"/>
                              </w:rPr>
                              <w:t>Demonstrating independence and appropriate governance. Under this option, proxy advisers would be required to be meaningfully independent from a superannuation fund they are advising to ensure that proxy advice is provided to and used by superannuation funds on an ‘arm’s length’ basis.</w:t>
                            </w:r>
                          </w:p>
                          <w:p w14:paraId="73FEB0EB" w14:textId="1B54B1F7" w:rsidR="008D2DBF" w:rsidRPr="000867E2" w:rsidRDefault="008D2DBF" w:rsidP="000867E2">
                            <w:pPr>
                              <w:rPr>
                                <w:rFonts w:ascii="Arial" w:hAnsi="Arial" w:cs="Arial"/>
                                <w:i/>
                                <w:iCs/>
                                <w:sz w:val="20"/>
                                <w:szCs w:val="20"/>
                              </w:rPr>
                            </w:pPr>
                            <w:r w:rsidRPr="000867E2">
                              <w:rPr>
                                <w:rFonts w:ascii="Arial" w:hAnsi="Arial" w:cs="Arial"/>
                                <w:i/>
                                <w:iCs/>
                                <w:sz w:val="20"/>
                                <w:szCs w:val="20"/>
                              </w:rPr>
                              <w:t>Trustees could also be required to outline publicly how they implement their existing trustee obligations and duties around independent judgement in the determination of voting positions.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D58F73" id="_x0000_t202" coordsize="21600,21600" o:spt="202" path="m,l,21600r21600,l21600,xe">
                <v:stroke joinstyle="miter"/>
                <v:path gradientshapeok="t" o:connecttype="rect"/>
              </v:shapetype>
              <v:shape id="Text Box 2" o:spid="_x0000_s1026" type="#_x0000_t202" style="position:absolute;margin-left:-.5pt;margin-top:49.5pt;width:448.5pt;height:110.6pt;z-index:251628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d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">
                <v:textbox style="mso-fit-shape-to-text:t">
                  <w:txbxContent>
                    <w:p w14:paraId="5AF49733" w14:textId="6C843CF4" w:rsidR="008D2DBF" w:rsidRPr="000867E2" w:rsidRDefault="008D2DBF" w:rsidP="000867E2">
                      <w:pPr>
                        <w:rPr>
                          <w:rFonts w:ascii="Arial" w:hAnsi="Arial" w:cs="Arial"/>
                          <w:i/>
                          <w:iCs/>
                          <w:sz w:val="20"/>
                          <w:szCs w:val="20"/>
                        </w:rPr>
                      </w:pPr>
                      <w:r w:rsidRPr="000867E2">
                        <w:rPr>
                          <w:rFonts w:ascii="Arial" w:hAnsi="Arial" w:cs="Arial"/>
                          <w:b/>
                          <w:bCs/>
                          <w:sz w:val="20"/>
                          <w:szCs w:val="20"/>
                        </w:rPr>
                        <w:t>Option 1</w:t>
                      </w:r>
                      <w:r w:rsidRPr="000867E2">
                        <w:rPr>
                          <w:rFonts w:ascii="Arial" w:hAnsi="Arial" w:cs="Arial"/>
                          <w:sz w:val="20"/>
                          <w:szCs w:val="20"/>
                        </w:rPr>
                        <w:t xml:space="preserve">: </w:t>
                      </w:r>
                      <w:r w:rsidRPr="000867E2">
                        <w:rPr>
                          <w:rFonts w:ascii="Arial" w:hAnsi="Arial" w:cs="Arial"/>
                          <w:i/>
                          <w:iCs/>
                          <w:sz w:val="20"/>
                          <w:szCs w:val="20"/>
                        </w:rPr>
                        <w:t>Improved disclosure of trustee voting. Under this option, superannuation funds would be required to disclose more detailed information in relation to their voting policies and actions for each financial year. The details to be disclosed could include how votes were exercised, whether any advice was received from a proxy adviser and who provided the advice.</w:t>
                      </w:r>
                    </w:p>
                    <w:p w14:paraId="2541803E" w14:textId="282356B3" w:rsidR="008D2DBF" w:rsidRPr="000867E2" w:rsidRDefault="008D2DBF" w:rsidP="000867E2">
                      <w:pPr>
                        <w:rPr>
                          <w:rFonts w:ascii="Arial" w:hAnsi="Arial" w:cs="Arial"/>
                          <w:i/>
                          <w:iCs/>
                          <w:sz w:val="20"/>
                          <w:szCs w:val="20"/>
                        </w:rPr>
                      </w:pPr>
                      <w:r w:rsidRPr="000867E2">
                        <w:rPr>
                          <w:rFonts w:ascii="Arial" w:hAnsi="Arial" w:cs="Arial"/>
                          <w:i/>
                          <w:iCs/>
                          <w:sz w:val="20"/>
                          <w:szCs w:val="20"/>
                        </w:rPr>
                        <w:t>If proxy advice is received, disclosure could include whether the voting actions taken were consistent with the proxy advice.</w:t>
                      </w:r>
                    </w:p>
                    <w:p w14:paraId="531B871E" w14:textId="6EC1E6D1" w:rsidR="008D2DBF" w:rsidRPr="000867E2" w:rsidRDefault="008D2DBF" w:rsidP="000867E2">
                      <w:pPr>
                        <w:rPr>
                          <w:rFonts w:ascii="Arial" w:hAnsi="Arial" w:cs="Arial"/>
                          <w:i/>
                          <w:iCs/>
                          <w:sz w:val="20"/>
                          <w:szCs w:val="20"/>
                        </w:rPr>
                      </w:pPr>
                      <w:r w:rsidRPr="000867E2">
                        <w:rPr>
                          <w:rFonts w:ascii="Arial" w:hAnsi="Arial" w:cs="Arial"/>
                          <w:b/>
                          <w:bCs/>
                          <w:sz w:val="20"/>
                          <w:szCs w:val="20"/>
                        </w:rPr>
                        <w:t>Option 2:</w:t>
                      </w:r>
                      <w:r w:rsidRPr="000867E2">
                        <w:rPr>
                          <w:rFonts w:ascii="Arial" w:hAnsi="Arial" w:cs="Arial"/>
                          <w:sz w:val="20"/>
                          <w:szCs w:val="20"/>
                        </w:rPr>
                        <w:t xml:space="preserve"> </w:t>
                      </w:r>
                      <w:r w:rsidRPr="000867E2">
                        <w:rPr>
                          <w:rFonts w:ascii="Arial" w:hAnsi="Arial" w:cs="Arial"/>
                          <w:i/>
                          <w:iCs/>
                          <w:sz w:val="20"/>
                          <w:szCs w:val="20"/>
                        </w:rPr>
                        <w:t>Demonstrating independence and appropriate governance. Under this option, proxy advisers would be required to be meaningfully independent from a superannuation fund they are advising to ensure that proxy advice is provided to and used by superannuation funds on an ‘arm’s length’ basis.</w:t>
                      </w:r>
                    </w:p>
                    <w:p w14:paraId="73FEB0EB" w14:textId="1B54B1F7" w:rsidR="008D2DBF" w:rsidRPr="000867E2" w:rsidRDefault="008D2DBF" w:rsidP="000867E2">
                      <w:pPr>
                        <w:rPr>
                          <w:rFonts w:ascii="Arial" w:hAnsi="Arial" w:cs="Arial"/>
                          <w:i/>
                          <w:iCs/>
                          <w:sz w:val="20"/>
                          <w:szCs w:val="20"/>
                        </w:rPr>
                      </w:pPr>
                      <w:r w:rsidRPr="000867E2">
                        <w:rPr>
                          <w:rFonts w:ascii="Arial" w:hAnsi="Arial" w:cs="Arial"/>
                          <w:i/>
                          <w:iCs/>
                          <w:sz w:val="20"/>
                          <w:szCs w:val="20"/>
                        </w:rPr>
                        <w:t>Trustees could also be required to outline publicly how they implement their existing trustee obligations and duties around independent judgement in the determination of voting positions.</w:t>
                      </w:r>
                    </w:p>
                  </w:txbxContent>
                </v:textbox>
                <w10:wrap type="square"/>
              </v:shape>
            </w:pict>
          </mc:Fallback>
        </mc:AlternateContent>
      </w:r>
      <w:r w:rsidR="00426E3E" w:rsidRPr="000867E2">
        <w:rPr>
          <w:rFonts w:ascii="Arial" w:hAnsi="Arial" w:cs="Arial"/>
          <w:sz w:val="20"/>
          <w:szCs w:val="20"/>
        </w:rPr>
        <w:t xml:space="preserve">Our response is structured in </w:t>
      </w:r>
      <w:r w:rsidR="008D2DBF" w:rsidRPr="000867E2">
        <w:rPr>
          <w:rFonts w:ascii="Arial" w:hAnsi="Arial" w:cs="Arial"/>
          <w:sz w:val="20"/>
          <w:szCs w:val="20"/>
        </w:rPr>
        <w:t>relation to</w:t>
      </w:r>
      <w:r w:rsidR="00426E3E" w:rsidRPr="000867E2">
        <w:rPr>
          <w:rFonts w:ascii="Arial" w:hAnsi="Arial" w:cs="Arial"/>
          <w:sz w:val="20"/>
          <w:szCs w:val="20"/>
        </w:rPr>
        <w:t xml:space="preserve"> select questions and reform options</w:t>
      </w:r>
      <w:r w:rsidR="008D2DBF" w:rsidRPr="000867E2">
        <w:rPr>
          <w:rFonts w:ascii="Arial" w:hAnsi="Arial" w:cs="Arial"/>
          <w:sz w:val="20"/>
          <w:szCs w:val="20"/>
        </w:rPr>
        <w:t xml:space="preserve"> posed by the Consultation Paper</w:t>
      </w:r>
      <w:r w:rsidR="00426E3E" w:rsidRPr="000867E2">
        <w:rPr>
          <w:rFonts w:ascii="Arial" w:hAnsi="Arial" w:cs="Arial"/>
          <w:sz w:val="20"/>
          <w:szCs w:val="20"/>
        </w:rPr>
        <w:t>, informed by our knowledge and experience</w:t>
      </w:r>
      <w:r w:rsidR="008D2DBF" w:rsidRPr="000867E2">
        <w:rPr>
          <w:rFonts w:ascii="Arial" w:hAnsi="Arial" w:cs="Arial"/>
          <w:sz w:val="20"/>
          <w:szCs w:val="20"/>
        </w:rPr>
        <w:t>,</w:t>
      </w:r>
      <w:r w:rsidR="00426E3E" w:rsidRPr="000867E2">
        <w:rPr>
          <w:rFonts w:ascii="Arial" w:hAnsi="Arial" w:cs="Arial"/>
          <w:sz w:val="20"/>
          <w:szCs w:val="20"/>
        </w:rPr>
        <w:t xml:space="preserve"> and the perspective of AIRA’s members.</w:t>
      </w:r>
    </w:p>
    <w:p w14:paraId="1EDE1137" w14:textId="0849A4D2" w:rsidR="00EF2D84" w:rsidRPr="000867E2" w:rsidRDefault="00EF2D84" w:rsidP="000867E2">
      <w:pPr>
        <w:rPr>
          <w:rFonts w:ascii="Arial" w:hAnsi="Arial" w:cs="Arial"/>
          <w:b/>
          <w:bCs/>
          <w:i/>
          <w:iCs/>
          <w:sz w:val="20"/>
          <w:szCs w:val="20"/>
        </w:rPr>
      </w:pPr>
      <w:r w:rsidRPr="000867E2">
        <w:rPr>
          <w:rFonts w:ascii="Arial" w:hAnsi="Arial" w:cs="Arial"/>
          <w:b/>
          <w:bCs/>
          <w:sz w:val="20"/>
          <w:szCs w:val="20"/>
        </w:rPr>
        <w:t xml:space="preserve">AIRA’s response </w:t>
      </w:r>
    </w:p>
    <w:p w14:paraId="6FD4CD38" w14:textId="26A3E122" w:rsidR="00EF2D84" w:rsidRPr="000867E2" w:rsidRDefault="00EF2D84" w:rsidP="000867E2">
      <w:pPr>
        <w:rPr>
          <w:rFonts w:ascii="Arial" w:hAnsi="Arial" w:cs="Arial"/>
          <w:sz w:val="20"/>
          <w:szCs w:val="20"/>
        </w:rPr>
      </w:pPr>
      <w:r w:rsidRPr="000867E2">
        <w:rPr>
          <w:rFonts w:ascii="Arial" w:hAnsi="Arial" w:cs="Arial"/>
          <w:sz w:val="20"/>
          <w:szCs w:val="20"/>
        </w:rPr>
        <w:t xml:space="preserve">AIRA supports improved disclosure of trustee voting under Option 1, including the release of detailed information regarding voting policies and how </w:t>
      </w:r>
      <w:r w:rsidR="003F1A9C">
        <w:rPr>
          <w:rFonts w:ascii="Arial" w:hAnsi="Arial" w:cs="Arial"/>
          <w:sz w:val="20"/>
          <w:szCs w:val="20"/>
        </w:rPr>
        <w:t xml:space="preserve">institutional investors </w:t>
      </w:r>
      <w:r w:rsidRPr="000867E2">
        <w:rPr>
          <w:rFonts w:ascii="Arial" w:hAnsi="Arial" w:cs="Arial"/>
          <w:sz w:val="20"/>
          <w:szCs w:val="20"/>
        </w:rPr>
        <w:t>exercised their votes. However, improved disclosure and transparency should apply to all institutional investors, not only superannuation funds.</w:t>
      </w:r>
    </w:p>
    <w:p w14:paraId="6B5EC2C0" w14:textId="0A8694E5" w:rsidR="002E68A6" w:rsidRPr="000867E2" w:rsidRDefault="000867E2" w:rsidP="000867E2">
      <w:pPr>
        <w:rPr>
          <w:rFonts w:ascii="Arial" w:hAnsi="Arial" w:cs="Arial"/>
          <w:sz w:val="20"/>
          <w:szCs w:val="20"/>
        </w:rPr>
      </w:pPr>
      <w:r w:rsidRPr="000867E2">
        <w:rPr>
          <w:rFonts w:ascii="Arial" w:hAnsi="Arial" w:cs="Arial"/>
          <w:noProof/>
          <w:sz w:val="20"/>
          <w:szCs w:val="20"/>
        </w:rPr>
        <mc:AlternateContent>
          <mc:Choice Requires="wps">
            <w:drawing>
              <wp:anchor distT="45720" distB="45720" distL="114300" distR="114300" simplePos="0" relativeHeight="251658752" behindDoc="0" locked="0" layoutInCell="1" allowOverlap="1" wp14:anchorId="2AAE8860" wp14:editId="19237B20">
                <wp:simplePos x="0" y="0"/>
                <wp:positionH relativeFrom="column">
                  <wp:posOffset>-8255</wp:posOffset>
                </wp:positionH>
                <wp:positionV relativeFrom="paragraph">
                  <wp:posOffset>833755</wp:posOffset>
                </wp:positionV>
                <wp:extent cx="5695950" cy="1404620"/>
                <wp:effectExtent l="0" t="0" r="1905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3A86E2E9" w14:textId="0C44BCB2" w:rsidR="002E68A6" w:rsidRPr="000867E2" w:rsidRDefault="008D2DBF" w:rsidP="000867E2">
                            <w:pPr>
                              <w:rPr>
                                <w:rFonts w:ascii="Arial" w:hAnsi="Arial" w:cs="Arial"/>
                                <w:sz w:val="20"/>
                                <w:szCs w:val="20"/>
                              </w:rPr>
                            </w:pPr>
                            <w:r w:rsidRPr="000867E2">
                              <w:rPr>
                                <w:rFonts w:ascii="Arial" w:hAnsi="Arial" w:cs="Arial"/>
                                <w:b/>
                                <w:bCs/>
                                <w:sz w:val="20"/>
                                <w:szCs w:val="20"/>
                              </w:rPr>
                              <w:t>Option 3:</w:t>
                            </w:r>
                            <w:r w:rsidRPr="000867E2">
                              <w:rPr>
                                <w:rFonts w:ascii="Arial" w:hAnsi="Arial" w:cs="Arial"/>
                                <w:sz w:val="20"/>
                                <w:szCs w:val="20"/>
                              </w:rPr>
                              <w:t xml:space="preserve"> </w:t>
                            </w:r>
                            <w:r w:rsidRPr="000867E2">
                              <w:rPr>
                                <w:rFonts w:ascii="Arial" w:hAnsi="Arial" w:cs="Arial"/>
                                <w:i/>
                                <w:iCs/>
                                <w:sz w:val="20"/>
                                <w:szCs w:val="20"/>
                              </w:rPr>
                              <w:t>Facilitate engagement and ensure transparency. Under this option, proxy advisers would be required to provide their report containing the research and voting recommendations for resolutions at a company’s meeting, to the relevant company before distributing the final report to subscribing investors. For example, a period of five days prior to the recommendation being made publicly available would give enough time for both the company and proxy adviser to comment and for the proxy adviser to amend the report in response if warranted.</w:t>
                            </w:r>
                            <w:r w:rsidRPr="000867E2">
                              <w:rPr>
                                <w:rFonts w:ascii="Arial" w:hAnsi="Arial" w:cs="Arial"/>
                                <w:sz w:val="20"/>
                                <w:szCs w:val="20"/>
                              </w:rPr>
                              <w:t xml:space="preserve"> </w:t>
                            </w:r>
                          </w:p>
                          <w:p w14:paraId="29B391D1" w14:textId="4407B92D" w:rsidR="002E68A6" w:rsidRPr="000867E2" w:rsidRDefault="002E68A6" w:rsidP="000867E2">
                            <w:pPr>
                              <w:rPr>
                                <w:rFonts w:ascii="Arial" w:hAnsi="Arial" w:cs="Arial"/>
                                <w:sz w:val="20"/>
                                <w:szCs w:val="20"/>
                              </w:rPr>
                            </w:pPr>
                            <w:r w:rsidRPr="000867E2">
                              <w:rPr>
                                <w:rFonts w:ascii="Arial" w:hAnsi="Arial" w:cs="Arial"/>
                                <w:b/>
                                <w:bCs/>
                                <w:sz w:val="20"/>
                                <w:szCs w:val="20"/>
                              </w:rPr>
                              <w:t>Question 7:</w:t>
                            </w:r>
                            <w:r w:rsidRPr="000867E2">
                              <w:rPr>
                                <w:rFonts w:ascii="Arial" w:hAnsi="Arial" w:cs="Arial"/>
                                <w:sz w:val="20"/>
                                <w:szCs w:val="20"/>
                              </w:rPr>
                              <w:t xml:space="preserve"> </w:t>
                            </w:r>
                            <w:r w:rsidRPr="000867E2">
                              <w:rPr>
                                <w:rFonts w:ascii="Arial" w:hAnsi="Arial" w:cs="Arial"/>
                                <w:i/>
                                <w:iCs/>
                                <w:sz w:val="20"/>
                                <w:szCs w:val="20"/>
                              </w:rPr>
                              <w:t>How would the proposed options affect the level of engagement by proxy advisers with companies?</w:t>
                            </w:r>
                          </w:p>
                          <w:p w14:paraId="0562C2BE" w14:textId="7A18EEDF" w:rsidR="002E68A6" w:rsidRPr="000867E2" w:rsidRDefault="002E68A6" w:rsidP="000867E2">
                            <w:pPr>
                              <w:rPr>
                                <w:rFonts w:ascii="Arial" w:hAnsi="Arial" w:cs="Arial"/>
                                <w:sz w:val="20"/>
                                <w:szCs w:val="20"/>
                              </w:rPr>
                            </w:pPr>
                            <w:r w:rsidRPr="000867E2">
                              <w:rPr>
                                <w:rFonts w:ascii="Arial" w:hAnsi="Arial" w:cs="Arial"/>
                                <w:b/>
                                <w:bCs/>
                                <w:sz w:val="20"/>
                                <w:szCs w:val="20"/>
                              </w:rPr>
                              <w:t>Question 10:</w:t>
                            </w:r>
                            <w:r w:rsidRPr="000867E2">
                              <w:rPr>
                                <w:rFonts w:ascii="Arial" w:hAnsi="Arial" w:cs="Arial"/>
                                <w:sz w:val="20"/>
                                <w:szCs w:val="20"/>
                              </w:rPr>
                              <w:t xml:space="preserve"> </w:t>
                            </w:r>
                            <w:r w:rsidRPr="000867E2">
                              <w:rPr>
                                <w:rFonts w:ascii="Arial" w:hAnsi="Arial" w:cs="Arial"/>
                                <w:i/>
                                <w:iCs/>
                                <w:sz w:val="20"/>
                                <w:szCs w:val="20"/>
                              </w:rPr>
                              <w:t>If proxy advisers were required to provide their reports to companies in advance of their clients, what would an appropriate length of time be that allows companies to respond to the report and for the report to be amended if there are any errors?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AE8860" id="_x0000_s1027" type="#_x0000_t202" style="position:absolute;margin-left:-.65pt;margin-top:65.65pt;width:448.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">
                <v:textbox style="mso-fit-shape-to-text:t">
                  <w:txbxContent>
                    <w:p w14:paraId="3A86E2E9" w14:textId="0C44BCB2" w:rsidR="002E68A6" w:rsidRPr="000867E2" w:rsidRDefault="008D2DBF" w:rsidP="000867E2">
                      <w:pPr>
                        <w:rPr>
                          <w:rFonts w:ascii="Arial" w:hAnsi="Arial" w:cs="Arial"/>
                          <w:sz w:val="20"/>
                          <w:szCs w:val="20"/>
                        </w:rPr>
                      </w:pPr>
                      <w:r w:rsidRPr="000867E2">
                        <w:rPr>
                          <w:rFonts w:ascii="Arial" w:hAnsi="Arial" w:cs="Arial"/>
                          <w:b/>
                          <w:bCs/>
                          <w:sz w:val="20"/>
                          <w:szCs w:val="20"/>
                        </w:rPr>
                        <w:t>Option 3:</w:t>
                      </w:r>
                      <w:r w:rsidRPr="000867E2">
                        <w:rPr>
                          <w:rFonts w:ascii="Arial" w:hAnsi="Arial" w:cs="Arial"/>
                          <w:sz w:val="20"/>
                          <w:szCs w:val="20"/>
                        </w:rPr>
                        <w:t xml:space="preserve"> </w:t>
                      </w:r>
                      <w:r w:rsidRPr="000867E2">
                        <w:rPr>
                          <w:rFonts w:ascii="Arial" w:hAnsi="Arial" w:cs="Arial"/>
                          <w:i/>
                          <w:iCs/>
                          <w:sz w:val="20"/>
                          <w:szCs w:val="20"/>
                        </w:rPr>
                        <w:t>Facilitate engagement and ensure transparency. Under this option, proxy advisers would be required to provide their report containing the research and voting recommendations for resolutions at a company’s meeting, to the relevant company before distributing the final report to subscribing investors. For example, a period of five days prior to the recommendation being made publicly available would give enough time for both the company and proxy adviser to comment and for the proxy adviser to amend the report in response if warranted.</w:t>
                      </w:r>
                      <w:r w:rsidRPr="000867E2">
                        <w:rPr>
                          <w:rFonts w:ascii="Arial" w:hAnsi="Arial" w:cs="Arial"/>
                          <w:sz w:val="20"/>
                          <w:szCs w:val="20"/>
                        </w:rPr>
                        <w:t xml:space="preserve"> </w:t>
                      </w:r>
                    </w:p>
                    <w:p w14:paraId="29B391D1" w14:textId="4407B92D" w:rsidR="002E68A6" w:rsidRPr="000867E2" w:rsidRDefault="002E68A6" w:rsidP="000867E2">
                      <w:pPr>
                        <w:rPr>
                          <w:rFonts w:ascii="Arial" w:hAnsi="Arial" w:cs="Arial"/>
                          <w:sz w:val="20"/>
                          <w:szCs w:val="20"/>
                        </w:rPr>
                      </w:pPr>
                      <w:r w:rsidRPr="000867E2">
                        <w:rPr>
                          <w:rFonts w:ascii="Arial" w:hAnsi="Arial" w:cs="Arial"/>
                          <w:b/>
                          <w:bCs/>
                          <w:sz w:val="20"/>
                          <w:szCs w:val="20"/>
                        </w:rPr>
                        <w:t>Question 7:</w:t>
                      </w:r>
                      <w:r w:rsidRPr="000867E2">
                        <w:rPr>
                          <w:rFonts w:ascii="Arial" w:hAnsi="Arial" w:cs="Arial"/>
                          <w:sz w:val="20"/>
                          <w:szCs w:val="20"/>
                        </w:rPr>
                        <w:t xml:space="preserve"> </w:t>
                      </w:r>
                      <w:r w:rsidRPr="000867E2">
                        <w:rPr>
                          <w:rFonts w:ascii="Arial" w:hAnsi="Arial" w:cs="Arial"/>
                          <w:i/>
                          <w:iCs/>
                          <w:sz w:val="20"/>
                          <w:szCs w:val="20"/>
                        </w:rPr>
                        <w:t>How would the proposed options affect the level of engagement by proxy advisers with companies?</w:t>
                      </w:r>
                    </w:p>
                    <w:p w14:paraId="0562C2BE" w14:textId="7A18EEDF" w:rsidR="002E68A6" w:rsidRPr="000867E2" w:rsidRDefault="002E68A6" w:rsidP="000867E2">
                      <w:pPr>
                        <w:rPr>
                          <w:rFonts w:ascii="Arial" w:hAnsi="Arial" w:cs="Arial"/>
                          <w:sz w:val="20"/>
                          <w:szCs w:val="20"/>
                        </w:rPr>
                      </w:pPr>
                      <w:r w:rsidRPr="000867E2">
                        <w:rPr>
                          <w:rFonts w:ascii="Arial" w:hAnsi="Arial" w:cs="Arial"/>
                          <w:b/>
                          <w:bCs/>
                          <w:sz w:val="20"/>
                          <w:szCs w:val="20"/>
                        </w:rPr>
                        <w:t>Question 10:</w:t>
                      </w:r>
                      <w:r w:rsidRPr="000867E2">
                        <w:rPr>
                          <w:rFonts w:ascii="Arial" w:hAnsi="Arial" w:cs="Arial"/>
                          <w:sz w:val="20"/>
                          <w:szCs w:val="20"/>
                        </w:rPr>
                        <w:t xml:space="preserve"> </w:t>
                      </w:r>
                      <w:r w:rsidRPr="000867E2">
                        <w:rPr>
                          <w:rFonts w:ascii="Arial" w:hAnsi="Arial" w:cs="Arial"/>
                          <w:i/>
                          <w:iCs/>
                          <w:sz w:val="20"/>
                          <w:szCs w:val="20"/>
                        </w:rPr>
                        <w:t>If proxy advisers were required to provide their reports to companies in advance of their clients, what would an appropriate length of time be that allows companies to respond to the report and for the report to be amended if there are any errors?</w:t>
                      </w:r>
                    </w:p>
                  </w:txbxContent>
                </v:textbox>
                <w10:wrap type="square"/>
              </v:shape>
            </w:pict>
          </mc:Fallback>
        </mc:AlternateContent>
      </w:r>
      <w:r w:rsidR="00EF2D84" w:rsidRPr="000867E2">
        <w:rPr>
          <w:rFonts w:ascii="Arial" w:hAnsi="Arial" w:cs="Arial"/>
          <w:sz w:val="20"/>
          <w:szCs w:val="20"/>
        </w:rPr>
        <w:t>AIRA supports the principle of proxy advisers be</w:t>
      </w:r>
      <w:r w:rsidR="00764EEB" w:rsidRPr="000867E2">
        <w:rPr>
          <w:rFonts w:ascii="Arial" w:hAnsi="Arial" w:cs="Arial"/>
          <w:sz w:val="20"/>
          <w:szCs w:val="20"/>
        </w:rPr>
        <w:t>ing</w:t>
      </w:r>
      <w:r w:rsidR="00EF2D84" w:rsidRPr="000867E2">
        <w:rPr>
          <w:rFonts w:ascii="Arial" w:hAnsi="Arial" w:cs="Arial"/>
          <w:sz w:val="20"/>
          <w:szCs w:val="20"/>
        </w:rPr>
        <w:t xml:space="preserve"> independent from superannuation funds or other institutional investors</w:t>
      </w:r>
      <w:r w:rsidR="00764EEB" w:rsidRPr="000867E2">
        <w:rPr>
          <w:rFonts w:ascii="Arial" w:hAnsi="Arial" w:cs="Arial"/>
          <w:sz w:val="20"/>
          <w:szCs w:val="20"/>
        </w:rPr>
        <w:t>.</w:t>
      </w:r>
      <w:r w:rsidR="00591F03" w:rsidRPr="000867E2">
        <w:rPr>
          <w:rFonts w:ascii="Arial" w:hAnsi="Arial" w:cs="Arial"/>
          <w:sz w:val="20"/>
          <w:szCs w:val="20"/>
        </w:rPr>
        <w:t xml:space="preserve"> Any reforms around meaningful independence of proxy advisers from institutional investors and the management of conflicts of interest should focus</w:t>
      </w:r>
      <w:r w:rsidR="00EF2D84" w:rsidRPr="000867E2">
        <w:rPr>
          <w:rFonts w:ascii="Arial" w:hAnsi="Arial" w:cs="Arial"/>
          <w:sz w:val="20"/>
          <w:szCs w:val="20"/>
        </w:rPr>
        <w:t xml:space="preserve"> </w:t>
      </w:r>
      <w:r w:rsidR="003307B2">
        <w:rPr>
          <w:rFonts w:ascii="Arial" w:hAnsi="Arial" w:cs="Arial"/>
          <w:sz w:val="20"/>
          <w:szCs w:val="20"/>
        </w:rPr>
        <w:t xml:space="preserve">entirely </w:t>
      </w:r>
      <w:r w:rsidR="00EF2D84" w:rsidRPr="000867E2">
        <w:rPr>
          <w:rFonts w:ascii="Arial" w:hAnsi="Arial" w:cs="Arial"/>
          <w:sz w:val="20"/>
          <w:szCs w:val="20"/>
        </w:rPr>
        <w:t>on ensuring the objectivity and integrity of proxy adviser</w:t>
      </w:r>
      <w:r w:rsidR="00591F03" w:rsidRPr="000867E2">
        <w:rPr>
          <w:rFonts w:ascii="Arial" w:hAnsi="Arial" w:cs="Arial"/>
          <w:sz w:val="20"/>
          <w:szCs w:val="20"/>
        </w:rPr>
        <w:t xml:space="preserve"> research, reports </w:t>
      </w:r>
      <w:r w:rsidR="00EF2D84" w:rsidRPr="000867E2">
        <w:rPr>
          <w:rFonts w:ascii="Arial" w:hAnsi="Arial" w:cs="Arial"/>
          <w:sz w:val="20"/>
          <w:szCs w:val="20"/>
        </w:rPr>
        <w:t>and recommendations</w:t>
      </w:r>
      <w:r w:rsidR="00764EEB" w:rsidRPr="000867E2">
        <w:rPr>
          <w:rFonts w:ascii="Arial" w:hAnsi="Arial" w:cs="Arial"/>
          <w:sz w:val="20"/>
          <w:szCs w:val="20"/>
        </w:rPr>
        <w:t>.</w:t>
      </w:r>
      <w:r w:rsidR="00591F03" w:rsidRPr="000867E2">
        <w:rPr>
          <w:rFonts w:ascii="Arial" w:hAnsi="Arial" w:cs="Arial"/>
          <w:sz w:val="20"/>
          <w:szCs w:val="20"/>
        </w:rPr>
        <w:t xml:space="preserve"> </w:t>
      </w:r>
    </w:p>
    <w:p w14:paraId="5A940F71" w14:textId="00A9421E" w:rsidR="002E68A6" w:rsidRPr="000867E2" w:rsidRDefault="002E68A6" w:rsidP="000867E2">
      <w:pPr>
        <w:rPr>
          <w:rFonts w:ascii="Arial" w:hAnsi="Arial" w:cs="Arial"/>
          <w:b/>
          <w:bCs/>
          <w:sz w:val="20"/>
          <w:szCs w:val="20"/>
        </w:rPr>
      </w:pPr>
      <w:r w:rsidRPr="000867E2">
        <w:rPr>
          <w:rFonts w:ascii="Arial" w:hAnsi="Arial" w:cs="Arial"/>
          <w:b/>
          <w:bCs/>
          <w:sz w:val="20"/>
          <w:szCs w:val="20"/>
        </w:rPr>
        <w:t xml:space="preserve">AIRA’s response </w:t>
      </w:r>
    </w:p>
    <w:p w14:paraId="69EACB17" w14:textId="2C78E233" w:rsidR="006E612C" w:rsidRPr="000867E2" w:rsidRDefault="002E68A6" w:rsidP="000867E2">
      <w:pPr>
        <w:rPr>
          <w:rFonts w:ascii="Arial" w:hAnsi="Arial" w:cs="Arial"/>
          <w:sz w:val="20"/>
          <w:szCs w:val="20"/>
        </w:rPr>
      </w:pPr>
      <w:r w:rsidRPr="000867E2">
        <w:rPr>
          <w:rFonts w:ascii="Arial" w:hAnsi="Arial" w:cs="Arial"/>
          <w:sz w:val="20"/>
          <w:szCs w:val="20"/>
        </w:rPr>
        <w:t xml:space="preserve">AIRA supports an amended version of Option 3, which would </w:t>
      </w:r>
      <w:r w:rsidR="003F1A9C">
        <w:rPr>
          <w:rFonts w:ascii="Arial" w:hAnsi="Arial" w:cs="Arial"/>
          <w:sz w:val="20"/>
          <w:szCs w:val="20"/>
        </w:rPr>
        <w:t>ensure</w:t>
      </w:r>
      <w:r w:rsidRPr="000867E2">
        <w:rPr>
          <w:rFonts w:ascii="Arial" w:hAnsi="Arial" w:cs="Arial"/>
          <w:sz w:val="20"/>
          <w:szCs w:val="20"/>
        </w:rPr>
        <w:t xml:space="preserve"> proxy advisers provide their report to a company </w:t>
      </w:r>
      <w:r w:rsidRPr="000867E2">
        <w:rPr>
          <w:rFonts w:ascii="Arial" w:hAnsi="Arial" w:cs="Arial"/>
          <w:b/>
          <w:bCs/>
          <w:i/>
          <w:iCs/>
          <w:sz w:val="20"/>
          <w:szCs w:val="20"/>
        </w:rPr>
        <w:t>only when it recommends against a Board recommended resolution</w:t>
      </w:r>
      <w:r w:rsidRPr="000867E2">
        <w:rPr>
          <w:rFonts w:ascii="Arial" w:hAnsi="Arial" w:cs="Arial"/>
          <w:sz w:val="20"/>
          <w:szCs w:val="20"/>
        </w:rPr>
        <w:t xml:space="preserve"> allowing the company </w:t>
      </w:r>
      <w:r w:rsidRPr="000867E2">
        <w:rPr>
          <w:rFonts w:ascii="Arial" w:hAnsi="Arial" w:cs="Arial"/>
          <w:b/>
          <w:bCs/>
          <w:i/>
          <w:iCs/>
          <w:sz w:val="20"/>
          <w:szCs w:val="20"/>
        </w:rPr>
        <w:t>three business days to respond</w:t>
      </w:r>
      <w:r w:rsidRPr="000867E2">
        <w:rPr>
          <w:rFonts w:ascii="Arial" w:hAnsi="Arial" w:cs="Arial"/>
          <w:sz w:val="20"/>
          <w:szCs w:val="20"/>
        </w:rPr>
        <w:t xml:space="preserve">. </w:t>
      </w:r>
    </w:p>
    <w:p w14:paraId="051CFBAB" w14:textId="1A3EB69E" w:rsidR="00FB7A1E" w:rsidRPr="003F1A9C" w:rsidRDefault="002E68A6" w:rsidP="000867E2">
      <w:pPr>
        <w:rPr>
          <w:rFonts w:ascii="Arial" w:hAnsi="Arial" w:cs="Arial"/>
          <w:sz w:val="20"/>
          <w:szCs w:val="20"/>
        </w:rPr>
      </w:pPr>
      <w:r w:rsidRPr="000867E2">
        <w:rPr>
          <w:rFonts w:ascii="Arial" w:hAnsi="Arial" w:cs="Arial"/>
          <w:sz w:val="20"/>
          <w:szCs w:val="20"/>
        </w:rPr>
        <w:lastRenderedPageBreak/>
        <w:t>Once the company has had the opportunity to respond, the proxy advis</w:t>
      </w:r>
      <w:r w:rsidR="00591F03" w:rsidRPr="000867E2">
        <w:rPr>
          <w:rFonts w:ascii="Arial" w:hAnsi="Arial" w:cs="Arial"/>
          <w:sz w:val="20"/>
          <w:szCs w:val="20"/>
        </w:rPr>
        <w:t>e</w:t>
      </w:r>
      <w:r w:rsidRPr="000867E2">
        <w:rPr>
          <w:rFonts w:ascii="Arial" w:hAnsi="Arial" w:cs="Arial"/>
          <w:sz w:val="20"/>
          <w:szCs w:val="20"/>
        </w:rPr>
        <w:t>r should be required to attach the company’s response to the report when it is distributed to clients. </w:t>
      </w:r>
      <w:r w:rsidR="00FB7A1E" w:rsidRPr="000867E2">
        <w:rPr>
          <w:rFonts w:ascii="Arial" w:hAnsi="Arial" w:cs="Arial"/>
          <w:sz w:val="20"/>
          <w:szCs w:val="20"/>
        </w:rPr>
        <w:t xml:space="preserve">Alternatively, </w:t>
      </w:r>
      <w:r w:rsidR="00FB7A1E" w:rsidRPr="000867E2">
        <w:rPr>
          <w:rFonts w:ascii="Arial" w:hAnsi="Arial" w:cs="Arial"/>
          <w:sz w:val="20"/>
          <w:szCs w:val="20"/>
          <w:lang w:val="en-AU"/>
        </w:rPr>
        <w:t xml:space="preserve">proxy advisers </w:t>
      </w:r>
      <w:r w:rsidR="00FB7A1E" w:rsidRPr="000867E2">
        <w:rPr>
          <w:rFonts w:ascii="Arial" w:hAnsi="Arial" w:cs="Arial"/>
          <w:sz w:val="20"/>
          <w:szCs w:val="20"/>
        </w:rPr>
        <w:t>should be</w:t>
      </w:r>
      <w:r w:rsidR="00FB7A1E" w:rsidRPr="000867E2">
        <w:rPr>
          <w:rFonts w:ascii="Arial" w:hAnsi="Arial" w:cs="Arial"/>
          <w:sz w:val="20"/>
          <w:szCs w:val="20"/>
          <w:lang w:val="en-AU"/>
        </w:rPr>
        <w:t xml:space="preserve"> </w:t>
      </w:r>
      <w:r w:rsidR="00FB7A1E" w:rsidRPr="003F1A9C">
        <w:rPr>
          <w:rFonts w:ascii="Arial" w:hAnsi="Arial" w:cs="Arial"/>
          <w:sz w:val="20"/>
          <w:szCs w:val="20"/>
          <w:lang w:val="en-AU"/>
        </w:rPr>
        <w:t xml:space="preserve">required to provide their clients with the link to </w:t>
      </w:r>
      <w:r w:rsidR="00B0448D" w:rsidRPr="003F1A9C">
        <w:rPr>
          <w:rFonts w:ascii="Arial" w:hAnsi="Arial" w:cs="Arial"/>
          <w:sz w:val="20"/>
          <w:szCs w:val="20"/>
          <w:lang w:val="en-AU"/>
        </w:rPr>
        <w:t>the</w:t>
      </w:r>
      <w:r w:rsidR="00FB7A1E" w:rsidRPr="003F1A9C">
        <w:rPr>
          <w:rFonts w:ascii="Arial" w:hAnsi="Arial" w:cs="Arial"/>
          <w:sz w:val="20"/>
          <w:szCs w:val="20"/>
        </w:rPr>
        <w:t xml:space="preserve"> company’s</w:t>
      </w:r>
      <w:r w:rsidR="00FB7A1E" w:rsidRPr="003F1A9C">
        <w:rPr>
          <w:rFonts w:ascii="Arial" w:hAnsi="Arial" w:cs="Arial"/>
          <w:sz w:val="20"/>
          <w:szCs w:val="20"/>
          <w:lang w:val="en-AU"/>
        </w:rPr>
        <w:t xml:space="preserve"> response</w:t>
      </w:r>
      <w:r w:rsidR="00FB7A1E" w:rsidRPr="003F1A9C">
        <w:rPr>
          <w:rFonts w:ascii="Arial" w:hAnsi="Arial" w:cs="Arial"/>
          <w:sz w:val="20"/>
          <w:szCs w:val="20"/>
        </w:rPr>
        <w:t>, which would be made available on their website or at another location prior to publication on their website.</w:t>
      </w:r>
      <w:r w:rsidR="00D553EA">
        <w:rPr>
          <w:rFonts w:ascii="Arial" w:hAnsi="Arial" w:cs="Arial"/>
          <w:sz w:val="20"/>
          <w:szCs w:val="20"/>
        </w:rPr>
        <w:t xml:space="preserve"> We believe this measure would </w:t>
      </w:r>
      <w:r w:rsidR="00B0448D">
        <w:rPr>
          <w:rFonts w:ascii="Arial" w:hAnsi="Arial" w:cs="Arial"/>
          <w:sz w:val="20"/>
          <w:szCs w:val="20"/>
        </w:rPr>
        <w:t>accelerate</w:t>
      </w:r>
      <w:r w:rsidR="00D553EA">
        <w:rPr>
          <w:rFonts w:ascii="Arial" w:hAnsi="Arial" w:cs="Arial"/>
          <w:sz w:val="20"/>
          <w:szCs w:val="20"/>
        </w:rPr>
        <w:t xml:space="preserve"> the communication between companies and the parties</w:t>
      </w:r>
      <w:r w:rsidR="00C82D99">
        <w:rPr>
          <w:rFonts w:ascii="Arial" w:hAnsi="Arial" w:cs="Arial"/>
          <w:sz w:val="20"/>
          <w:szCs w:val="20"/>
        </w:rPr>
        <w:t xml:space="preserve"> or </w:t>
      </w:r>
      <w:r w:rsidR="00D553EA">
        <w:rPr>
          <w:rFonts w:ascii="Arial" w:hAnsi="Arial" w:cs="Arial"/>
          <w:sz w:val="20"/>
          <w:szCs w:val="20"/>
        </w:rPr>
        <w:t>individuals who are actually exercising the vote</w:t>
      </w:r>
      <w:r w:rsidR="00C82D99">
        <w:rPr>
          <w:rFonts w:ascii="Arial" w:hAnsi="Arial" w:cs="Arial"/>
          <w:sz w:val="20"/>
          <w:szCs w:val="20"/>
        </w:rPr>
        <w:t>,</w:t>
      </w:r>
      <w:r w:rsidR="00D553EA">
        <w:rPr>
          <w:rFonts w:ascii="Arial" w:hAnsi="Arial" w:cs="Arial"/>
          <w:sz w:val="20"/>
          <w:szCs w:val="20"/>
        </w:rPr>
        <w:t xml:space="preserve"> who are often different to those who are making the investment decisions.</w:t>
      </w:r>
    </w:p>
    <w:p w14:paraId="68689CC7" w14:textId="4320B17C" w:rsidR="006E612C" w:rsidRPr="000867E2" w:rsidRDefault="002E68A6" w:rsidP="000867E2">
      <w:pPr>
        <w:rPr>
          <w:rFonts w:ascii="Arial" w:hAnsi="Arial" w:cs="Arial"/>
          <w:sz w:val="20"/>
          <w:szCs w:val="20"/>
        </w:rPr>
      </w:pPr>
      <w:r w:rsidRPr="000867E2">
        <w:rPr>
          <w:rFonts w:ascii="Arial" w:hAnsi="Arial" w:cs="Arial"/>
          <w:sz w:val="20"/>
          <w:szCs w:val="20"/>
        </w:rPr>
        <w:t xml:space="preserve">Further, </w:t>
      </w:r>
      <w:r w:rsidRPr="003F1A9C">
        <w:rPr>
          <w:rFonts w:ascii="Arial" w:hAnsi="Arial" w:cs="Arial"/>
          <w:sz w:val="20"/>
          <w:szCs w:val="20"/>
        </w:rPr>
        <w:t>there should be no charge or cost to the company for this service, nor for</w:t>
      </w:r>
      <w:r w:rsidR="006E612C" w:rsidRPr="003F1A9C">
        <w:rPr>
          <w:rFonts w:ascii="Arial" w:hAnsi="Arial" w:cs="Arial"/>
          <w:sz w:val="20"/>
          <w:szCs w:val="20"/>
        </w:rPr>
        <w:t xml:space="preserve"> the</w:t>
      </w:r>
      <w:r w:rsidRPr="003F1A9C">
        <w:rPr>
          <w:rFonts w:ascii="Arial" w:hAnsi="Arial" w:cs="Arial"/>
          <w:sz w:val="20"/>
          <w:szCs w:val="20"/>
        </w:rPr>
        <w:t xml:space="preserve"> proxy advis</w:t>
      </w:r>
      <w:r w:rsidR="00591F03" w:rsidRPr="003F1A9C">
        <w:rPr>
          <w:rFonts w:ascii="Arial" w:hAnsi="Arial" w:cs="Arial"/>
          <w:sz w:val="20"/>
          <w:szCs w:val="20"/>
        </w:rPr>
        <w:t>e</w:t>
      </w:r>
      <w:r w:rsidRPr="003F1A9C">
        <w:rPr>
          <w:rFonts w:ascii="Arial" w:hAnsi="Arial" w:cs="Arial"/>
          <w:sz w:val="20"/>
          <w:szCs w:val="20"/>
        </w:rPr>
        <w:t>r sharing its report</w:t>
      </w:r>
      <w:r w:rsidR="00FB7A1E" w:rsidRPr="003F1A9C">
        <w:rPr>
          <w:rFonts w:ascii="Arial" w:hAnsi="Arial" w:cs="Arial"/>
          <w:sz w:val="20"/>
          <w:szCs w:val="20"/>
        </w:rPr>
        <w:t>.</w:t>
      </w:r>
    </w:p>
    <w:p w14:paraId="5049D60F" w14:textId="3541D43B" w:rsidR="00D553EA" w:rsidRDefault="006E612C" w:rsidP="000867E2">
      <w:pPr>
        <w:rPr>
          <w:rFonts w:ascii="Arial" w:hAnsi="Arial" w:cs="Arial"/>
          <w:sz w:val="20"/>
          <w:szCs w:val="20"/>
        </w:rPr>
      </w:pPr>
      <w:r w:rsidRPr="000867E2">
        <w:rPr>
          <w:rFonts w:ascii="Arial" w:hAnsi="Arial" w:cs="Arial"/>
          <w:sz w:val="20"/>
          <w:szCs w:val="20"/>
        </w:rPr>
        <w:t xml:space="preserve">These changes will provide certainty </w:t>
      </w:r>
      <w:r w:rsidR="00FB7A1E" w:rsidRPr="000867E2">
        <w:rPr>
          <w:rFonts w:ascii="Arial" w:hAnsi="Arial" w:cs="Arial"/>
          <w:sz w:val="20"/>
          <w:szCs w:val="20"/>
        </w:rPr>
        <w:t>for our members in terms of the ability to review and correct any factual inaccuracies. It would also give companies the opportunity to provide proxy advisers with information and context that has informed their decisions across a range of financial</w:t>
      </w:r>
      <w:r w:rsidR="00A56D57">
        <w:rPr>
          <w:rFonts w:ascii="Arial" w:hAnsi="Arial" w:cs="Arial"/>
          <w:sz w:val="20"/>
          <w:szCs w:val="20"/>
        </w:rPr>
        <w:t>, governance and other matters.</w:t>
      </w:r>
    </w:p>
    <w:p w14:paraId="5E1FA86D" w14:textId="61352E9B" w:rsidR="002E68A6" w:rsidRPr="000867E2" w:rsidRDefault="000867E2" w:rsidP="000867E2">
      <w:pPr>
        <w:rPr>
          <w:rFonts w:ascii="Arial" w:hAnsi="Arial" w:cs="Arial"/>
          <w:sz w:val="20"/>
          <w:szCs w:val="20"/>
          <w:lang w:val="en-AU"/>
        </w:rPr>
      </w:pPr>
      <w:r w:rsidRPr="000867E2">
        <w:rPr>
          <w:rFonts w:ascii="Arial" w:hAnsi="Arial" w:cs="Arial"/>
          <w:b/>
          <w:bCs/>
          <w:noProof/>
          <w:sz w:val="20"/>
          <w:szCs w:val="20"/>
        </w:rPr>
        <mc:AlternateContent>
          <mc:Choice Requires="wps">
            <w:drawing>
              <wp:anchor distT="45720" distB="45720" distL="114300" distR="114300" simplePos="0" relativeHeight="251715072" behindDoc="0" locked="0" layoutInCell="1" allowOverlap="1" wp14:anchorId="20F82481" wp14:editId="4DF5E946">
                <wp:simplePos x="0" y="0"/>
                <wp:positionH relativeFrom="column">
                  <wp:posOffset>-9525</wp:posOffset>
                </wp:positionH>
                <wp:positionV relativeFrom="paragraph">
                  <wp:posOffset>1115060</wp:posOffset>
                </wp:positionV>
                <wp:extent cx="5695950" cy="1404620"/>
                <wp:effectExtent l="0" t="0" r="19050" b="2286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7027A1C2" w14:textId="79B6E48C" w:rsidR="009A50CC" w:rsidRPr="000867E2" w:rsidRDefault="009A50CC" w:rsidP="000867E2">
                            <w:pPr>
                              <w:rPr>
                                <w:rFonts w:ascii="Arial" w:hAnsi="Arial" w:cs="Arial"/>
                                <w:sz w:val="20"/>
                                <w:szCs w:val="20"/>
                              </w:rPr>
                            </w:pPr>
                            <w:r w:rsidRPr="000867E2">
                              <w:rPr>
                                <w:rFonts w:ascii="Arial" w:hAnsi="Arial" w:cs="Arial"/>
                                <w:b/>
                                <w:bCs/>
                                <w:sz w:val="20"/>
                                <w:szCs w:val="20"/>
                              </w:rPr>
                              <w:t>Option 4:</w:t>
                            </w:r>
                            <w:r w:rsidRPr="000867E2">
                              <w:rPr>
                                <w:rFonts w:ascii="Arial" w:hAnsi="Arial" w:cs="Arial"/>
                                <w:sz w:val="20"/>
                                <w:szCs w:val="20"/>
                              </w:rPr>
                              <w:t xml:space="preserve"> </w:t>
                            </w:r>
                            <w:r w:rsidRPr="000867E2">
                              <w:rPr>
                                <w:rFonts w:ascii="Arial" w:hAnsi="Arial" w:cs="Arial"/>
                                <w:i/>
                                <w:iCs/>
                                <w:sz w:val="20"/>
                                <w:szCs w:val="20"/>
                              </w:rPr>
                              <w:t>Make materials accessible. Under this option, proxy advisers would be required to notify their clients on how to access the company’s response to the report. This could be through providing a website link or instructions on how to access the response elsewhere.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F82481" id="_x0000_s1028" type="#_x0000_t202" style="position:absolute;margin-left:-.75pt;margin-top:87.8pt;width:448.5pt;height:110.6pt;z-index:2517150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">
                <v:textbox style="mso-fit-shape-to-text:t">
                  <w:txbxContent>
                    <w:p w14:paraId="7027A1C2" w14:textId="79B6E48C" w:rsidR="009A50CC" w:rsidRPr="000867E2" w:rsidRDefault="009A50CC" w:rsidP="000867E2">
                      <w:pPr>
                        <w:rPr>
                          <w:rFonts w:ascii="Arial" w:hAnsi="Arial" w:cs="Arial"/>
                          <w:sz w:val="20"/>
                          <w:szCs w:val="20"/>
                        </w:rPr>
                      </w:pPr>
                      <w:r w:rsidRPr="000867E2">
                        <w:rPr>
                          <w:rFonts w:ascii="Arial" w:hAnsi="Arial" w:cs="Arial"/>
                          <w:b/>
                          <w:bCs/>
                          <w:sz w:val="20"/>
                          <w:szCs w:val="20"/>
                        </w:rPr>
                        <w:t>Option 4:</w:t>
                      </w:r>
                      <w:r w:rsidRPr="000867E2">
                        <w:rPr>
                          <w:rFonts w:ascii="Arial" w:hAnsi="Arial" w:cs="Arial"/>
                          <w:sz w:val="20"/>
                          <w:szCs w:val="20"/>
                        </w:rPr>
                        <w:t xml:space="preserve"> </w:t>
                      </w:r>
                      <w:r w:rsidRPr="000867E2">
                        <w:rPr>
                          <w:rFonts w:ascii="Arial" w:hAnsi="Arial" w:cs="Arial"/>
                          <w:i/>
                          <w:iCs/>
                          <w:sz w:val="20"/>
                          <w:szCs w:val="20"/>
                        </w:rPr>
                        <w:t>Make materials accessible. Under this option, proxy advisers would be required to notify their clients on how to access the company’s response to the report. This could be through providing a website link or instructions on how to access the response elsewhere.</w:t>
                      </w:r>
                    </w:p>
                  </w:txbxContent>
                </v:textbox>
                <w10:wrap type="square"/>
              </v:shape>
            </w:pict>
          </mc:Fallback>
        </mc:AlternateContent>
      </w:r>
      <w:r w:rsidR="00FB7A1E" w:rsidRPr="000867E2">
        <w:rPr>
          <w:rFonts w:ascii="Arial" w:hAnsi="Arial" w:cs="Arial"/>
          <w:sz w:val="20"/>
          <w:szCs w:val="20"/>
        </w:rPr>
        <w:t xml:space="preserve">Importantly, this </w:t>
      </w:r>
      <w:r w:rsidR="00A56D57">
        <w:rPr>
          <w:rFonts w:ascii="Arial" w:hAnsi="Arial" w:cs="Arial"/>
          <w:sz w:val="20"/>
          <w:szCs w:val="20"/>
        </w:rPr>
        <w:t>framework</w:t>
      </w:r>
      <w:r w:rsidR="00FB7A1E" w:rsidRPr="000867E2">
        <w:rPr>
          <w:rFonts w:ascii="Arial" w:hAnsi="Arial" w:cs="Arial"/>
          <w:sz w:val="20"/>
          <w:szCs w:val="20"/>
        </w:rPr>
        <w:t xml:space="preserve"> would benefit </w:t>
      </w:r>
      <w:r w:rsidR="006E612C" w:rsidRPr="000867E2">
        <w:rPr>
          <w:rFonts w:ascii="Arial" w:hAnsi="Arial" w:cs="Arial"/>
          <w:sz w:val="20"/>
          <w:szCs w:val="20"/>
        </w:rPr>
        <w:t xml:space="preserve">institutional </w:t>
      </w:r>
      <w:r w:rsidR="00A56D57">
        <w:rPr>
          <w:rFonts w:ascii="Arial" w:hAnsi="Arial" w:cs="Arial"/>
          <w:sz w:val="20"/>
          <w:szCs w:val="20"/>
        </w:rPr>
        <w:t>shareholders</w:t>
      </w:r>
      <w:r w:rsidR="00FB7A1E" w:rsidRPr="000867E2">
        <w:rPr>
          <w:rFonts w:ascii="Arial" w:hAnsi="Arial" w:cs="Arial"/>
          <w:sz w:val="20"/>
          <w:szCs w:val="20"/>
        </w:rPr>
        <w:t>. It would provide these investors with a</w:t>
      </w:r>
      <w:r w:rsidR="006E612C" w:rsidRPr="000867E2">
        <w:rPr>
          <w:rFonts w:ascii="Arial" w:hAnsi="Arial" w:cs="Arial"/>
          <w:sz w:val="20"/>
          <w:szCs w:val="20"/>
        </w:rPr>
        <w:t xml:space="preserve"> more thorough and nuanced </w:t>
      </w:r>
      <w:r w:rsidR="00A56D57">
        <w:rPr>
          <w:rFonts w:ascii="Arial" w:hAnsi="Arial" w:cs="Arial"/>
          <w:sz w:val="20"/>
          <w:szCs w:val="20"/>
        </w:rPr>
        <w:t>set of information and advice</w:t>
      </w:r>
      <w:r w:rsidR="006E612C" w:rsidRPr="000867E2">
        <w:rPr>
          <w:rFonts w:ascii="Arial" w:hAnsi="Arial" w:cs="Arial"/>
          <w:sz w:val="20"/>
          <w:szCs w:val="20"/>
        </w:rPr>
        <w:t xml:space="preserve"> with which to make their voting decisions. It will also f</w:t>
      </w:r>
      <w:r w:rsidR="002E68A6" w:rsidRPr="000867E2">
        <w:rPr>
          <w:rFonts w:ascii="Arial" w:hAnsi="Arial" w:cs="Arial"/>
          <w:sz w:val="20"/>
          <w:szCs w:val="20"/>
        </w:rPr>
        <w:t>oster stronger</w:t>
      </w:r>
      <w:r w:rsidR="006E612C" w:rsidRPr="000867E2">
        <w:rPr>
          <w:rFonts w:ascii="Arial" w:hAnsi="Arial" w:cs="Arial"/>
          <w:sz w:val="20"/>
          <w:szCs w:val="20"/>
        </w:rPr>
        <w:t xml:space="preserve"> formal</w:t>
      </w:r>
      <w:r w:rsidR="002E68A6" w:rsidRPr="000867E2">
        <w:rPr>
          <w:rFonts w:ascii="Arial" w:hAnsi="Arial" w:cs="Arial"/>
          <w:sz w:val="20"/>
          <w:szCs w:val="20"/>
        </w:rPr>
        <w:t xml:space="preserve"> engagement</w:t>
      </w:r>
      <w:r w:rsidR="006E612C" w:rsidRPr="000867E2">
        <w:rPr>
          <w:rFonts w:ascii="Arial" w:hAnsi="Arial" w:cs="Arial"/>
          <w:sz w:val="20"/>
          <w:szCs w:val="20"/>
        </w:rPr>
        <w:t xml:space="preserve"> between proxy advisers and companies and bolster the range of </w:t>
      </w:r>
      <w:r w:rsidR="002E68A6" w:rsidRPr="000867E2">
        <w:rPr>
          <w:rFonts w:ascii="Arial" w:hAnsi="Arial" w:cs="Arial"/>
          <w:sz w:val="20"/>
          <w:szCs w:val="20"/>
        </w:rPr>
        <w:t xml:space="preserve">interactions </w:t>
      </w:r>
      <w:r w:rsidR="006E612C" w:rsidRPr="000867E2">
        <w:rPr>
          <w:rFonts w:ascii="Arial" w:hAnsi="Arial" w:cs="Arial"/>
          <w:sz w:val="20"/>
          <w:szCs w:val="20"/>
        </w:rPr>
        <w:t xml:space="preserve">that occur </w:t>
      </w:r>
      <w:r w:rsidR="002E68A6" w:rsidRPr="000867E2">
        <w:rPr>
          <w:rFonts w:ascii="Arial" w:hAnsi="Arial" w:cs="Arial"/>
          <w:sz w:val="20"/>
          <w:szCs w:val="20"/>
        </w:rPr>
        <w:t xml:space="preserve">between the two parties, including in-person meetings, phone calls, email and letters throughout the </w:t>
      </w:r>
      <w:r w:rsidR="005F0837" w:rsidRPr="000867E2">
        <w:rPr>
          <w:rFonts w:ascii="Arial" w:hAnsi="Arial" w:cs="Arial"/>
          <w:sz w:val="20"/>
          <w:szCs w:val="20"/>
        </w:rPr>
        <w:t xml:space="preserve">financial </w:t>
      </w:r>
      <w:r w:rsidR="002E68A6" w:rsidRPr="000867E2">
        <w:rPr>
          <w:rFonts w:ascii="Arial" w:hAnsi="Arial" w:cs="Arial"/>
          <w:sz w:val="20"/>
          <w:szCs w:val="20"/>
        </w:rPr>
        <w:t xml:space="preserve">year, as well as </w:t>
      </w:r>
      <w:r w:rsidR="005F0837" w:rsidRPr="000867E2">
        <w:rPr>
          <w:rFonts w:ascii="Arial" w:hAnsi="Arial" w:cs="Arial"/>
          <w:sz w:val="20"/>
          <w:szCs w:val="20"/>
        </w:rPr>
        <w:t xml:space="preserve">the </w:t>
      </w:r>
      <w:r w:rsidR="002E68A6" w:rsidRPr="000867E2">
        <w:rPr>
          <w:rFonts w:ascii="Arial" w:hAnsi="Arial" w:cs="Arial"/>
          <w:sz w:val="20"/>
          <w:szCs w:val="20"/>
        </w:rPr>
        <w:t xml:space="preserve">period leading up to, and at, </w:t>
      </w:r>
      <w:r w:rsidR="00FB7A1E" w:rsidRPr="000867E2">
        <w:rPr>
          <w:rFonts w:ascii="Arial" w:hAnsi="Arial" w:cs="Arial"/>
          <w:sz w:val="20"/>
          <w:szCs w:val="20"/>
        </w:rPr>
        <w:t>a company meeting or AGM.</w:t>
      </w:r>
      <w:r w:rsidR="002E68A6" w:rsidRPr="000867E2">
        <w:rPr>
          <w:rFonts w:ascii="Arial" w:hAnsi="Arial" w:cs="Arial"/>
          <w:sz w:val="20"/>
          <w:szCs w:val="20"/>
        </w:rPr>
        <w:t xml:space="preserve"> </w:t>
      </w:r>
    </w:p>
    <w:p w14:paraId="71275BF5" w14:textId="6D66B0A1" w:rsidR="005F0837" w:rsidRPr="000867E2" w:rsidRDefault="005F0837" w:rsidP="000867E2">
      <w:pPr>
        <w:rPr>
          <w:rFonts w:ascii="Arial" w:hAnsi="Arial" w:cs="Arial"/>
          <w:b/>
          <w:bCs/>
          <w:sz w:val="20"/>
          <w:szCs w:val="20"/>
        </w:rPr>
      </w:pPr>
      <w:r w:rsidRPr="000867E2">
        <w:rPr>
          <w:rFonts w:ascii="Arial" w:hAnsi="Arial" w:cs="Arial"/>
          <w:b/>
          <w:bCs/>
          <w:sz w:val="20"/>
          <w:szCs w:val="20"/>
        </w:rPr>
        <w:t xml:space="preserve">AIRA’s response </w:t>
      </w:r>
    </w:p>
    <w:p w14:paraId="708B6BB4" w14:textId="179309BA" w:rsidR="00442344" w:rsidRPr="000867E2" w:rsidRDefault="005F0837" w:rsidP="000867E2">
      <w:pPr>
        <w:rPr>
          <w:rFonts w:ascii="Arial" w:hAnsi="Arial" w:cs="Arial"/>
          <w:sz w:val="20"/>
          <w:szCs w:val="20"/>
        </w:rPr>
      </w:pPr>
      <w:r w:rsidRPr="000867E2">
        <w:rPr>
          <w:rFonts w:ascii="Arial" w:hAnsi="Arial" w:cs="Arial"/>
          <w:sz w:val="20"/>
          <w:szCs w:val="20"/>
          <w:lang w:val="en-AU"/>
        </w:rPr>
        <w:t>AIRA’s members have expressed support for proxy reports</w:t>
      </w:r>
      <w:r w:rsidR="00FB7A1E" w:rsidRPr="000867E2">
        <w:rPr>
          <w:rFonts w:ascii="Arial" w:hAnsi="Arial" w:cs="Arial"/>
          <w:sz w:val="20"/>
          <w:szCs w:val="20"/>
        </w:rPr>
        <w:t xml:space="preserve"> and responses</w:t>
      </w:r>
      <w:r w:rsidRPr="000867E2">
        <w:rPr>
          <w:rFonts w:ascii="Arial" w:hAnsi="Arial" w:cs="Arial"/>
          <w:sz w:val="20"/>
          <w:szCs w:val="20"/>
          <w:lang w:val="en-AU"/>
        </w:rPr>
        <w:t xml:space="preserve"> being made available on their websites</w:t>
      </w:r>
      <w:r w:rsidR="00FB7A1E" w:rsidRPr="000867E2">
        <w:rPr>
          <w:rFonts w:ascii="Arial" w:hAnsi="Arial" w:cs="Arial"/>
          <w:sz w:val="20"/>
          <w:szCs w:val="20"/>
        </w:rPr>
        <w:t>.</w:t>
      </w:r>
      <w:r w:rsidRPr="000867E2">
        <w:rPr>
          <w:rFonts w:ascii="Arial" w:hAnsi="Arial" w:cs="Arial"/>
          <w:sz w:val="20"/>
          <w:szCs w:val="20"/>
          <w:lang w:val="en-AU"/>
        </w:rPr>
        <w:t xml:space="preserve"> </w:t>
      </w:r>
    </w:p>
    <w:p w14:paraId="4AC4A0E0" w14:textId="2FEC4909" w:rsidR="00442344" w:rsidRPr="000867E2" w:rsidRDefault="00FB7A1E" w:rsidP="000867E2">
      <w:pPr>
        <w:rPr>
          <w:rFonts w:ascii="Arial" w:hAnsi="Arial" w:cs="Arial"/>
          <w:b/>
          <w:bCs/>
          <w:sz w:val="20"/>
          <w:szCs w:val="20"/>
        </w:rPr>
      </w:pPr>
      <w:r w:rsidRPr="000867E2">
        <w:rPr>
          <w:rFonts w:ascii="Arial" w:hAnsi="Arial" w:cs="Arial"/>
          <w:b/>
          <w:bCs/>
          <w:noProof/>
          <w:sz w:val="20"/>
          <w:szCs w:val="20"/>
        </w:rPr>
        <mc:AlternateContent>
          <mc:Choice Requires="wps">
            <w:drawing>
              <wp:anchor distT="45720" distB="45720" distL="114300" distR="114300" simplePos="0" relativeHeight="251694592" behindDoc="0" locked="0" layoutInCell="1" allowOverlap="1" wp14:anchorId="7F5DBB88" wp14:editId="4586EC20">
                <wp:simplePos x="0" y="0"/>
                <wp:positionH relativeFrom="column">
                  <wp:posOffset>0</wp:posOffset>
                </wp:positionH>
                <wp:positionV relativeFrom="paragraph">
                  <wp:posOffset>-3175</wp:posOffset>
                </wp:positionV>
                <wp:extent cx="5695950" cy="1404620"/>
                <wp:effectExtent l="0" t="0" r="19050" b="2159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rgbClr val="FFFFFF"/>
                        </a:solidFill>
                        <a:ln w="9525">
                          <a:solidFill>
                            <a:srgbClr val="000000"/>
                          </a:solidFill>
                          <a:miter lim="800000"/>
                          <a:headEnd/>
                          <a:tailEnd/>
                        </a:ln>
                      </wps:spPr>
                      <wps:txbx>
                        <w:txbxContent>
                          <w:p w14:paraId="3FA01B48" w14:textId="7EE8D425" w:rsidR="008D2DBF" w:rsidRPr="000867E2" w:rsidRDefault="008D2DBF" w:rsidP="000867E2">
                            <w:pPr>
                              <w:rPr>
                                <w:rFonts w:ascii="Arial" w:hAnsi="Arial" w:cs="Arial"/>
                                <w:sz w:val="20"/>
                                <w:szCs w:val="20"/>
                              </w:rPr>
                            </w:pPr>
                            <w:r w:rsidRPr="000867E2">
                              <w:rPr>
                                <w:rFonts w:ascii="Arial" w:hAnsi="Arial" w:cs="Arial"/>
                                <w:b/>
                                <w:bCs/>
                                <w:sz w:val="20"/>
                                <w:szCs w:val="20"/>
                              </w:rPr>
                              <w:t>Option 5:</w:t>
                            </w:r>
                            <w:r w:rsidRPr="000867E2">
                              <w:rPr>
                                <w:rFonts w:ascii="Arial" w:hAnsi="Arial" w:cs="Arial"/>
                                <w:sz w:val="20"/>
                                <w:szCs w:val="20"/>
                              </w:rPr>
                              <w:t xml:space="preserve"> </w:t>
                            </w:r>
                            <w:r w:rsidRPr="000867E2">
                              <w:rPr>
                                <w:rFonts w:ascii="Arial" w:hAnsi="Arial" w:cs="Arial"/>
                                <w:i/>
                                <w:iCs/>
                                <w:sz w:val="20"/>
                                <w:szCs w:val="20"/>
                              </w:rPr>
                              <w:t>Ensuring advice is underpinned by professional licensing. Under this option proxy advisers would be required to obtain an AFSL for the provision of proxy advice. The purpose of the license would be to ensure that proxy advisers are making assessments on issues that have a material impact on the conduct of business in Australia with appropriate regulatory oversight and the necessary care and skill required.</w:t>
                            </w:r>
                          </w:p>
                          <w:p w14:paraId="43EA0370" w14:textId="451F9CC2" w:rsidR="008D2DBF" w:rsidRPr="000867E2" w:rsidRDefault="008D2DBF" w:rsidP="000867E2">
                            <w:pPr>
                              <w:rPr>
                                <w:rFonts w:ascii="Arial" w:hAnsi="Arial" w:cs="Arial"/>
                                <w:sz w:val="20"/>
                                <w:szCs w:val="20"/>
                              </w:rPr>
                            </w:pPr>
                            <w:r w:rsidRPr="000867E2">
                              <w:rPr>
                                <w:rFonts w:ascii="Arial" w:hAnsi="Arial" w:cs="Arial"/>
                                <w:b/>
                                <w:bCs/>
                                <w:sz w:val="20"/>
                                <w:szCs w:val="20"/>
                              </w:rPr>
                              <w:t>Question 12:</w:t>
                            </w:r>
                            <w:r w:rsidRPr="000867E2">
                              <w:rPr>
                                <w:rFonts w:ascii="Arial" w:hAnsi="Arial" w:cs="Arial"/>
                                <w:sz w:val="20"/>
                                <w:szCs w:val="20"/>
                              </w:rPr>
                              <w:t xml:space="preserve"> </w:t>
                            </w:r>
                            <w:r w:rsidRPr="000867E2">
                              <w:rPr>
                                <w:rFonts w:ascii="Arial" w:hAnsi="Arial" w:cs="Arial"/>
                                <w:i/>
                                <w:iCs/>
                                <w:sz w:val="20"/>
                                <w:szCs w:val="20"/>
                              </w:rPr>
                              <w:t>Is the AFSL regime an appropriate licensing regime through which to regulate the provision of proxy advice?</w:t>
                            </w:r>
                            <w:r w:rsidRPr="000867E2">
                              <w:rPr>
                                <w:rFonts w:ascii="Arial" w:hAnsi="Arial" w:cs="Arial"/>
                                <w:sz w:val="20"/>
                                <w:szCs w:val="20"/>
                              </w:rPr>
                              <w:t xml:space="preserve"> </w:t>
                            </w:r>
                          </w:p>
                          <w:p w14:paraId="7555B0B6" w14:textId="68CD8821" w:rsidR="008D2DBF" w:rsidRPr="000867E2" w:rsidRDefault="008D2DBF" w:rsidP="000867E2">
                            <w:pPr>
                              <w:rPr>
                                <w:rFonts w:ascii="Arial" w:hAnsi="Arial" w:cs="Arial"/>
                                <w:sz w:val="20"/>
                                <w:szCs w:val="20"/>
                              </w:rPr>
                            </w:pPr>
                            <w:r w:rsidRPr="000867E2">
                              <w:rPr>
                                <w:rFonts w:ascii="Arial" w:hAnsi="Arial" w:cs="Arial"/>
                                <w:b/>
                                <w:bCs/>
                                <w:sz w:val="20"/>
                                <w:szCs w:val="20"/>
                              </w:rPr>
                              <w:t>Question 13:</w:t>
                            </w:r>
                            <w:r w:rsidRPr="000867E2">
                              <w:rPr>
                                <w:rFonts w:ascii="Arial" w:hAnsi="Arial" w:cs="Arial"/>
                                <w:sz w:val="20"/>
                                <w:szCs w:val="20"/>
                              </w:rPr>
                              <w:t xml:space="preserve"> </w:t>
                            </w:r>
                            <w:r w:rsidRPr="000867E2">
                              <w:rPr>
                                <w:rFonts w:ascii="Arial" w:hAnsi="Arial" w:cs="Arial"/>
                                <w:i/>
                                <w:iCs/>
                                <w:sz w:val="20"/>
                                <w:szCs w:val="20"/>
                              </w:rPr>
                              <w:t>Would coverage under the AFSL regime result in an improvement in the standard of proxy advice?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F5DBB88" id="_x0000_s1029" type="#_x0000_t202" style="position:absolute;margin-left:0;margin-top:-.25pt;width:448.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">
                <v:textbox style="mso-fit-shape-to-text:t">
                  <w:txbxContent>
                    <w:p w14:paraId="3FA01B48" w14:textId="7EE8D425" w:rsidR="008D2DBF" w:rsidRPr="000867E2" w:rsidRDefault="008D2DBF" w:rsidP="000867E2">
                      <w:pPr>
                        <w:rPr>
                          <w:rFonts w:ascii="Arial" w:hAnsi="Arial" w:cs="Arial"/>
                          <w:sz w:val="20"/>
                          <w:szCs w:val="20"/>
                        </w:rPr>
                      </w:pPr>
                      <w:r w:rsidRPr="000867E2">
                        <w:rPr>
                          <w:rFonts w:ascii="Arial" w:hAnsi="Arial" w:cs="Arial"/>
                          <w:b/>
                          <w:bCs/>
                          <w:sz w:val="20"/>
                          <w:szCs w:val="20"/>
                        </w:rPr>
                        <w:t>Option 5:</w:t>
                      </w:r>
                      <w:r w:rsidRPr="000867E2">
                        <w:rPr>
                          <w:rFonts w:ascii="Arial" w:hAnsi="Arial" w:cs="Arial"/>
                          <w:sz w:val="20"/>
                          <w:szCs w:val="20"/>
                        </w:rPr>
                        <w:t xml:space="preserve"> </w:t>
                      </w:r>
                      <w:r w:rsidRPr="000867E2">
                        <w:rPr>
                          <w:rFonts w:ascii="Arial" w:hAnsi="Arial" w:cs="Arial"/>
                          <w:i/>
                          <w:iCs/>
                          <w:sz w:val="20"/>
                          <w:szCs w:val="20"/>
                        </w:rPr>
                        <w:t>Ensuring advice is underpinned by professional licensing. Under this option proxy advisers would be required to obtain an AFSL for the provision of proxy advice. The purpose of the license would be to ensure that proxy advisers are making assessments on issues that have a material impact on the conduct of business in Australia with appropriate regulatory oversight and the necessary care and skill required.</w:t>
                      </w:r>
                    </w:p>
                    <w:p w14:paraId="43EA0370" w14:textId="451F9CC2" w:rsidR="008D2DBF" w:rsidRPr="000867E2" w:rsidRDefault="008D2DBF" w:rsidP="000867E2">
                      <w:pPr>
                        <w:rPr>
                          <w:rFonts w:ascii="Arial" w:hAnsi="Arial" w:cs="Arial"/>
                          <w:sz w:val="20"/>
                          <w:szCs w:val="20"/>
                        </w:rPr>
                      </w:pPr>
                      <w:r w:rsidRPr="000867E2">
                        <w:rPr>
                          <w:rFonts w:ascii="Arial" w:hAnsi="Arial" w:cs="Arial"/>
                          <w:b/>
                          <w:bCs/>
                          <w:sz w:val="20"/>
                          <w:szCs w:val="20"/>
                        </w:rPr>
                        <w:t>Question 12:</w:t>
                      </w:r>
                      <w:r w:rsidRPr="000867E2">
                        <w:rPr>
                          <w:rFonts w:ascii="Arial" w:hAnsi="Arial" w:cs="Arial"/>
                          <w:sz w:val="20"/>
                          <w:szCs w:val="20"/>
                        </w:rPr>
                        <w:t xml:space="preserve"> </w:t>
                      </w:r>
                      <w:r w:rsidRPr="000867E2">
                        <w:rPr>
                          <w:rFonts w:ascii="Arial" w:hAnsi="Arial" w:cs="Arial"/>
                          <w:i/>
                          <w:iCs/>
                          <w:sz w:val="20"/>
                          <w:szCs w:val="20"/>
                        </w:rPr>
                        <w:t>Is the AFSL regime an appropriate licensing regime through which to regulate the provision of proxy advice?</w:t>
                      </w:r>
                      <w:r w:rsidRPr="000867E2">
                        <w:rPr>
                          <w:rFonts w:ascii="Arial" w:hAnsi="Arial" w:cs="Arial"/>
                          <w:sz w:val="20"/>
                          <w:szCs w:val="20"/>
                        </w:rPr>
                        <w:t xml:space="preserve"> </w:t>
                      </w:r>
                    </w:p>
                    <w:p w14:paraId="7555B0B6" w14:textId="68CD8821" w:rsidR="008D2DBF" w:rsidRPr="000867E2" w:rsidRDefault="008D2DBF" w:rsidP="000867E2">
                      <w:pPr>
                        <w:rPr>
                          <w:rFonts w:ascii="Arial" w:hAnsi="Arial" w:cs="Arial"/>
                          <w:sz w:val="20"/>
                          <w:szCs w:val="20"/>
                        </w:rPr>
                      </w:pPr>
                      <w:r w:rsidRPr="000867E2">
                        <w:rPr>
                          <w:rFonts w:ascii="Arial" w:hAnsi="Arial" w:cs="Arial"/>
                          <w:b/>
                          <w:bCs/>
                          <w:sz w:val="20"/>
                          <w:szCs w:val="20"/>
                        </w:rPr>
                        <w:t>Question 13:</w:t>
                      </w:r>
                      <w:r w:rsidRPr="000867E2">
                        <w:rPr>
                          <w:rFonts w:ascii="Arial" w:hAnsi="Arial" w:cs="Arial"/>
                          <w:sz w:val="20"/>
                          <w:szCs w:val="20"/>
                        </w:rPr>
                        <w:t xml:space="preserve"> </w:t>
                      </w:r>
                      <w:r w:rsidRPr="000867E2">
                        <w:rPr>
                          <w:rFonts w:ascii="Arial" w:hAnsi="Arial" w:cs="Arial"/>
                          <w:i/>
                          <w:iCs/>
                          <w:sz w:val="20"/>
                          <w:szCs w:val="20"/>
                        </w:rPr>
                        <w:t>Would coverage under the AFSL regime result in an improvement in the standard of proxy advice?</w:t>
                      </w:r>
                    </w:p>
                  </w:txbxContent>
                </v:textbox>
                <w10:wrap type="square"/>
              </v:shape>
            </w:pict>
          </mc:Fallback>
        </mc:AlternateContent>
      </w:r>
      <w:r w:rsidR="00442344" w:rsidRPr="000867E2">
        <w:rPr>
          <w:rFonts w:ascii="Arial" w:hAnsi="Arial" w:cs="Arial"/>
          <w:b/>
          <w:bCs/>
          <w:sz w:val="20"/>
          <w:szCs w:val="20"/>
        </w:rPr>
        <w:t xml:space="preserve">AIRA’s response </w:t>
      </w:r>
    </w:p>
    <w:p w14:paraId="1C1277A1" w14:textId="78A5B4D2" w:rsidR="003113DE" w:rsidRPr="004D1360" w:rsidRDefault="003113DE" w:rsidP="003113DE">
      <w:pPr>
        <w:rPr>
          <w:rFonts w:ascii="Arial" w:hAnsi="Arial" w:cs="Arial"/>
          <w:sz w:val="20"/>
          <w:szCs w:val="20"/>
        </w:rPr>
      </w:pPr>
      <w:r w:rsidRPr="000867E2">
        <w:rPr>
          <w:rFonts w:ascii="Arial" w:hAnsi="Arial" w:cs="Arial"/>
          <w:sz w:val="20"/>
          <w:szCs w:val="20"/>
        </w:rPr>
        <w:t xml:space="preserve">AIRA supports </w:t>
      </w:r>
      <w:r>
        <w:rPr>
          <w:rFonts w:ascii="Arial" w:hAnsi="Arial" w:cs="Arial"/>
          <w:sz w:val="20"/>
          <w:szCs w:val="20"/>
        </w:rPr>
        <w:t xml:space="preserve">the implementation of Option 5 to </w:t>
      </w:r>
      <w:r w:rsidRPr="000867E2">
        <w:rPr>
          <w:rFonts w:ascii="Arial" w:hAnsi="Arial" w:cs="Arial"/>
          <w:sz w:val="20"/>
          <w:szCs w:val="20"/>
        </w:rPr>
        <w:t xml:space="preserve">ensure proxy advisers making assessments on issues that have a material impact on the conduct of business in Australia </w:t>
      </w:r>
      <w:r>
        <w:rPr>
          <w:rFonts w:ascii="Arial" w:hAnsi="Arial" w:cs="Arial"/>
          <w:sz w:val="20"/>
          <w:szCs w:val="20"/>
        </w:rPr>
        <w:t>have</w:t>
      </w:r>
      <w:r w:rsidRPr="000867E2">
        <w:rPr>
          <w:rFonts w:ascii="Arial" w:hAnsi="Arial" w:cs="Arial"/>
          <w:sz w:val="20"/>
          <w:szCs w:val="20"/>
        </w:rPr>
        <w:t xml:space="preserve"> appropriate regulatory </w:t>
      </w:r>
      <w:r w:rsidRPr="004D1360">
        <w:rPr>
          <w:rFonts w:ascii="Arial" w:hAnsi="Arial" w:cs="Arial"/>
          <w:sz w:val="20"/>
          <w:szCs w:val="20"/>
        </w:rPr>
        <w:t xml:space="preserve">oversight and the necessary care and skill required to make those assessments.  </w:t>
      </w:r>
    </w:p>
    <w:p w14:paraId="7C4D9401" w14:textId="77777777" w:rsidR="00A56D57" w:rsidRDefault="003113DE" w:rsidP="009678F5">
      <w:pPr>
        <w:rPr>
          <w:rFonts w:ascii="Arial" w:hAnsi="Arial" w:cs="Arial"/>
          <w:sz w:val="20"/>
          <w:szCs w:val="20"/>
        </w:rPr>
      </w:pPr>
      <w:r w:rsidRPr="004D1360">
        <w:rPr>
          <w:rFonts w:ascii="Arial" w:hAnsi="Arial" w:cs="Arial"/>
          <w:sz w:val="20"/>
          <w:szCs w:val="20"/>
        </w:rPr>
        <w:t xml:space="preserve">AIRA believes the AFSL is an appropriate licensing system with which to regulate the provision of proxy advice, however, there needs to be additional layers of self-regulation against international best practice standards. </w:t>
      </w:r>
    </w:p>
    <w:p w14:paraId="570B5A13" w14:textId="0B69FE4D" w:rsidR="003113DE" w:rsidRPr="004D1360" w:rsidRDefault="003113DE" w:rsidP="009678F5">
      <w:pPr>
        <w:rPr>
          <w:rFonts w:ascii="Arial" w:hAnsi="Arial" w:cs="Arial"/>
          <w:sz w:val="20"/>
          <w:szCs w:val="20"/>
        </w:rPr>
      </w:pPr>
      <w:r w:rsidRPr="004D1360">
        <w:rPr>
          <w:rFonts w:ascii="Arial" w:hAnsi="Arial" w:cs="Arial"/>
          <w:sz w:val="20"/>
          <w:szCs w:val="20"/>
        </w:rPr>
        <w:lastRenderedPageBreak/>
        <w:t>Firstly, AIRA recommends that</w:t>
      </w:r>
      <w:r w:rsidRPr="004D1360">
        <w:rPr>
          <w:rFonts w:ascii="Arial" w:hAnsi="Arial" w:cs="Arial"/>
          <w:sz w:val="20"/>
          <w:szCs w:val="20"/>
          <w:lang w:val="en-AU"/>
        </w:rPr>
        <w:t xml:space="preserve"> proxy</w:t>
      </w:r>
      <w:r w:rsidRPr="004D1360">
        <w:rPr>
          <w:rFonts w:ascii="Arial" w:hAnsi="Arial" w:cs="Arial"/>
          <w:sz w:val="20"/>
          <w:szCs w:val="20"/>
        </w:rPr>
        <w:t xml:space="preserve"> advisers be required to ratify the </w:t>
      </w:r>
      <w:r w:rsidR="009678F5" w:rsidRPr="00B0448D">
        <w:rPr>
          <w:rFonts w:ascii="Arial" w:hAnsi="Arial" w:cs="Arial"/>
          <w:i/>
          <w:iCs/>
          <w:sz w:val="20"/>
          <w:szCs w:val="20"/>
        </w:rPr>
        <w:t>Best Practice Principles for Providers of Shareholder Voting Research &amp; Analysis</w:t>
      </w:r>
      <w:r w:rsidR="009678F5" w:rsidRPr="004D1360">
        <w:rPr>
          <w:rFonts w:ascii="Arial" w:hAnsi="Arial" w:cs="Arial"/>
          <w:sz w:val="20"/>
          <w:szCs w:val="20"/>
        </w:rPr>
        <w:t xml:space="preserve">, developed by the Best Practice Principles Group, </w:t>
      </w:r>
      <w:r w:rsidRPr="004D1360">
        <w:rPr>
          <w:rFonts w:ascii="Arial" w:hAnsi="Arial" w:cs="Arial"/>
          <w:sz w:val="20"/>
          <w:szCs w:val="20"/>
        </w:rPr>
        <w:t xml:space="preserve">and make an annual statement of compliance with these principles. Institutional investors should also be required to ratify a stewardship code and provide an annual statement of compliance annually. </w:t>
      </w:r>
    </w:p>
    <w:p w14:paraId="6915FD0F" w14:textId="3977A40A" w:rsidR="00842CAC" w:rsidRPr="004D1360" w:rsidRDefault="009678F5" w:rsidP="009678F5">
      <w:pPr>
        <w:rPr>
          <w:rFonts w:ascii="Arial" w:hAnsi="Arial" w:cs="Arial"/>
          <w:sz w:val="20"/>
          <w:szCs w:val="20"/>
        </w:rPr>
      </w:pPr>
      <w:r w:rsidRPr="004D1360">
        <w:rPr>
          <w:rFonts w:ascii="Arial" w:hAnsi="Arial" w:cs="Arial"/>
          <w:sz w:val="20"/>
          <w:szCs w:val="20"/>
        </w:rPr>
        <w:t>The</w:t>
      </w:r>
      <w:r w:rsidR="003113DE" w:rsidRPr="004D1360">
        <w:rPr>
          <w:rFonts w:ascii="Arial" w:hAnsi="Arial" w:cs="Arial"/>
          <w:sz w:val="20"/>
          <w:szCs w:val="20"/>
        </w:rPr>
        <w:t xml:space="preserve"> </w:t>
      </w:r>
      <w:r w:rsidRPr="004D1360">
        <w:rPr>
          <w:rFonts w:ascii="Arial" w:hAnsi="Arial" w:cs="Arial"/>
          <w:sz w:val="20"/>
          <w:szCs w:val="20"/>
        </w:rPr>
        <w:t>Principles are produced by the Best Practices Principles Group</w:t>
      </w:r>
      <w:r w:rsidR="003113DE" w:rsidRPr="004D1360">
        <w:rPr>
          <w:rFonts w:ascii="Arial" w:hAnsi="Arial" w:cs="Arial"/>
          <w:sz w:val="20"/>
          <w:szCs w:val="20"/>
        </w:rPr>
        <w:t xml:space="preserve"> </w:t>
      </w:r>
      <w:r w:rsidR="004D1360" w:rsidRPr="004D1360">
        <w:rPr>
          <w:rFonts w:ascii="Arial" w:hAnsi="Arial" w:cs="Arial"/>
          <w:sz w:val="20"/>
          <w:szCs w:val="20"/>
        </w:rPr>
        <w:t xml:space="preserve">(BPPG) </w:t>
      </w:r>
      <w:r w:rsidRPr="004D1360">
        <w:rPr>
          <w:rFonts w:ascii="Arial" w:hAnsi="Arial" w:cs="Arial"/>
          <w:sz w:val="20"/>
          <w:szCs w:val="20"/>
        </w:rPr>
        <w:t>and refers to the latest updated stewardship codes globally. The Principles promote the integrity and efficiency of processes and controls related to the provision of proxy advice and intend to foster greater understanding of the role of proxy advisers in facilitating the voting decisions made by institutional investors.</w:t>
      </w:r>
      <w:r w:rsidRPr="004D1360">
        <w:rPr>
          <w:rStyle w:val="FootnoteReference"/>
          <w:rFonts w:ascii="Arial" w:hAnsi="Arial" w:cs="Arial"/>
          <w:sz w:val="20"/>
          <w:szCs w:val="20"/>
        </w:rPr>
        <w:footnoteReference w:id="1"/>
      </w:r>
      <w:r w:rsidR="004D1360">
        <w:rPr>
          <w:rFonts w:ascii="Arial" w:hAnsi="Arial" w:cs="Arial"/>
          <w:sz w:val="20"/>
          <w:szCs w:val="20"/>
        </w:rPr>
        <w:t xml:space="preserve"> </w:t>
      </w:r>
      <w:r w:rsidR="004D1360" w:rsidRPr="004D1360">
        <w:rPr>
          <w:rFonts w:ascii="Arial" w:hAnsi="Arial" w:cs="Arial"/>
          <w:sz w:val="20"/>
          <w:szCs w:val="20"/>
        </w:rPr>
        <w:t>According to the BPPG:</w:t>
      </w:r>
    </w:p>
    <w:p w14:paraId="0D507351" w14:textId="3365B008" w:rsidR="004D1360" w:rsidRPr="004D1360" w:rsidRDefault="004D1360" w:rsidP="004D1360">
      <w:pPr>
        <w:ind w:left="720"/>
        <w:rPr>
          <w:rFonts w:ascii="Arial" w:hAnsi="Arial" w:cs="Arial"/>
          <w:i/>
          <w:iCs/>
          <w:sz w:val="20"/>
          <w:szCs w:val="20"/>
        </w:rPr>
      </w:pPr>
      <w:r w:rsidRPr="004D1360">
        <w:rPr>
          <w:rFonts w:ascii="Arial" w:hAnsi="Arial" w:cs="Arial"/>
          <w:i/>
          <w:iCs/>
          <w:sz w:val="20"/>
          <w:szCs w:val="20"/>
        </w:rPr>
        <w:t>“The Principles may be regarded as reflecting widely-held and accepted general views on how providers of shareholder voting research and analysis contribute to the roles and responsibilities of investors and issuers in fostering effective stewardship and robust corporate governance and ensuring efficient markets.”</w:t>
      </w:r>
    </w:p>
    <w:p w14:paraId="5ACD9389" w14:textId="286FE318" w:rsidR="004D1360" w:rsidRDefault="009678F5" w:rsidP="004D1360">
      <w:pPr>
        <w:rPr>
          <w:rFonts w:ascii="Arial" w:eastAsia="Times New Roman" w:hAnsi="Arial" w:cs="Arial"/>
          <w:sz w:val="20"/>
          <w:szCs w:val="20"/>
          <w:lang w:eastAsia="en-AU"/>
        </w:rPr>
      </w:pPr>
      <w:r w:rsidRPr="004D1360">
        <w:rPr>
          <w:rFonts w:ascii="Arial" w:eastAsia="Times New Roman" w:hAnsi="Arial" w:cs="Arial"/>
          <w:sz w:val="20"/>
          <w:szCs w:val="20"/>
          <w:lang w:eastAsia="en-AU"/>
        </w:rPr>
        <w:t>The Principles</w:t>
      </w:r>
      <w:r w:rsidR="004D1360">
        <w:rPr>
          <w:rFonts w:ascii="Arial" w:eastAsia="Times New Roman" w:hAnsi="Arial" w:cs="Arial"/>
          <w:sz w:val="20"/>
          <w:szCs w:val="20"/>
          <w:lang w:eastAsia="en-AU"/>
        </w:rPr>
        <w:t xml:space="preserve"> and their accompanying guidance state that proxy advisers:</w:t>
      </w:r>
    </w:p>
    <w:p w14:paraId="3A306504" w14:textId="20D4110C" w:rsidR="004D1360" w:rsidRDefault="004D1360" w:rsidP="00C91DF7">
      <w:pPr>
        <w:pStyle w:val="ListParagraph"/>
        <w:numPr>
          <w:ilvl w:val="0"/>
          <w:numId w:val="22"/>
        </w:numPr>
        <w:tabs>
          <w:tab w:val="left" w:pos="450"/>
        </w:tabs>
        <w:ind w:left="450"/>
        <w:rPr>
          <w:rFonts w:ascii="Arial" w:eastAsia="Times New Roman" w:hAnsi="Arial" w:cs="Arial"/>
          <w:sz w:val="20"/>
          <w:szCs w:val="20"/>
          <w:lang w:eastAsia="en-AU"/>
        </w:rPr>
      </w:pPr>
      <w:r>
        <w:rPr>
          <w:rFonts w:ascii="Arial" w:eastAsia="Times New Roman" w:hAnsi="Arial" w:cs="Arial"/>
          <w:sz w:val="20"/>
          <w:szCs w:val="20"/>
          <w:lang w:eastAsia="en-AU"/>
        </w:rPr>
        <w:t>D</w:t>
      </w:r>
      <w:r w:rsidRPr="004D1360">
        <w:rPr>
          <w:rFonts w:ascii="Arial" w:eastAsia="Times New Roman" w:hAnsi="Arial" w:cs="Arial"/>
          <w:sz w:val="20"/>
          <w:szCs w:val="20"/>
          <w:lang w:eastAsia="en-AU"/>
        </w:rPr>
        <w:t>eliver th</w:t>
      </w:r>
      <w:r>
        <w:rPr>
          <w:rFonts w:ascii="Arial" w:eastAsia="Times New Roman" w:hAnsi="Arial" w:cs="Arial"/>
          <w:sz w:val="20"/>
          <w:szCs w:val="20"/>
          <w:lang w:eastAsia="en-AU"/>
        </w:rPr>
        <w:t>eir</w:t>
      </w:r>
      <w:r w:rsidRPr="004D1360">
        <w:rPr>
          <w:rFonts w:ascii="Arial" w:eastAsia="Times New Roman" w:hAnsi="Arial" w:cs="Arial"/>
          <w:sz w:val="20"/>
          <w:szCs w:val="20"/>
          <w:lang w:eastAsia="en-AU"/>
        </w:rPr>
        <w:t xml:space="preserve"> services in accordance with agreed-upon investor client specifications and should publicly disclose their research methodology and “house” voting policies</w:t>
      </w:r>
      <w:r>
        <w:rPr>
          <w:rFonts w:ascii="Arial" w:eastAsia="Times New Roman" w:hAnsi="Arial" w:cs="Arial"/>
          <w:sz w:val="20"/>
          <w:szCs w:val="20"/>
          <w:lang w:eastAsia="en-AU"/>
        </w:rPr>
        <w:t>.</w:t>
      </w:r>
      <w:r w:rsidR="00C91DF7">
        <w:rPr>
          <w:rStyle w:val="FootnoteReference"/>
          <w:rFonts w:ascii="Arial" w:eastAsia="Times New Roman" w:hAnsi="Arial" w:cs="Arial"/>
          <w:sz w:val="20"/>
          <w:szCs w:val="20"/>
          <w:lang w:eastAsia="en-AU"/>
        </w:rPr>
        <w:footnoteReference w:id="2"/>
      </w:r>
    </w:p>
    <w:p w14:paraId="41F8DB00" w14:textId="61EEAC01" w:rsidR="004D1360" w:rsidRDefault="004D1360" w:rsidP="00C91DF7">
      <w:pPr>
        <w:pStyle w:val="ListParagraph"/>
        <w:numPr>
          <w:ilvl w:val="0"/>
          <w:numId w:val="22"/>
        </w:numPr>
        <w:tabs>
          <w:tab w:val="left" w:pos="450"/>
          <w:tab w:val="left" w:pos="540"/>
        </w:tabs>
        <w:ind w:left="450"/>
        <w:rPr>
          <w:rFonts w:ascii="Arial" w:eastAsia="Times New Roman" w:hAnsi="Arial" w:cs="Arial"/>
          <w:sz w:val="20"/>
          <w:szCs w:val="20"/>
          <w:lang w:eastAsia="en-AU"/>
        </w:rPr>
      </w:pPr>
      <w:r>
        <w:rPr>
          <w:rFonts w:ascii="Arial" w:eastAsia="Times New Roman" w:hAnsi="Arial" w:cs="Arial"/>
          <w:sz w:val="20"/>
          <w:szCs w:val="20"/>
          <w:lang w:eastAsia="en-AU"/>
        </w:rPr>
        <w:t>P</w:t>
      </w:r>
      <w:r w:rsidRPr="004D1360">
        <w:rPr>
          <w:rFonts w:ascii="Arial" w:eastAsia="Times New Roman" w:hAnsi="Arial" w:cs="Arial"/>
          <w:sz w:val="20"/>
          <w:szCs w:val="20"/>
          <w:lang w:eastAsia="en-AU"/>
        </w:rPr>
        <w:t>ublicly disclose a conflicts-of-interest policy that details their procedures for avoiding or addressing potential or actual conflicts of interest that may arise in connection with the provision of services</w:t>
      </w:r>
      <w:r>
        <w:rPr>
          <w:rFonts w:ascii="Arial" w:eastAsia="Times New Roman" w:hAnsi="Arial" w:cs="Arial"/>
          <w:sz w:val="20"/>
          <w:szCs w:val="20"/>
          <w:lang w:eastAsia="en-AU"/>
        </w:rPr>
        <w:t>.</w:t>
      </w:r>
      <w:r w:rsidR="00C91DF7">
        <w:rPr>
          <w:rStyle w:val="FootnoteReference"/>
          <w:rFonts w:ascii="Arial" w:eastAsia="Times New Roman" w:hAnsi="Arial" w:cs="Arial"/>
          <w:sz w:val="20"/>
          <w:szCs w:val="20"/>
          <w:lang w:eastAsia="en-AU"/>
        </w:rPr>
        <w:footnoteReference w:id="3"/>
      </w:r>
    </w:p>
    <w:p w14:paraId="0A6906D0" w14:textId="77777777" w:rsidR="005A5D5F" w:rsidRDefault="004D1360" w:rsidP="000867E2">
      <w:pPr>
        <w:pStyle w:val="ListParagraph"/>
        <w:numPr>
          <w:ilvl w:val="0"/>
          <w:numId w:val="22"/>
        </w:numPr>
        <w:tabs>
          <w:tab w:val="left" w:pos="450"/>
        </w:tabs>
        <w:ind w:left="450"/>
        <w:rPr>
          <w:rFonts w:ascii="Arial" w:eastAsia="Times New Roman" w:hAnsi="Arial" w:cs="Arial"/>
          <w:sz w:val="20"/>
          <w:szCs w:val="20"/>
          <w:lang w:eastAsia="en-AU"/>
        </w:rPr>
      </w:pPr>
      <w:r>
        <w:rPr>
          <w:rFonts w:ascii="Arial" w:eastAsia="Times New Roman" w:hAnsi="Arial" w:cs="Arial"/>
          <w:sz w:val="20"/>
          <w:szCs w:val="20"/>
          <w:lang w:eastAsia="en-AU"/>
        </w:rPr>
        <w:t>De</w:t>
      </w:r>
      <w:r w:rsidRPr="004D1360">
        <w:rPr>
          <w:rFonts w:ascii="Arial" w:eastAsia="Times New Roman" w:hAnsi="Arial" w:cs="Arial"/>
          <w:sz w:val="20"/>
          <w:szCs w:val="20"/>
          <w:lang w:eastAsia="en-AU"/>
        </w:rPr>
        <w:t>liver high-quality research that enables investor clients to review the analysis sufficiently in advance of the vote deadline ahead of a general meeting. As part of this service, proxy advisers should disclose their policies for dialogue with issuers, shareholder proponents and other stakeholders and inform clients about the nature of any dialogue with relevant parties in their research reports, which may also include informing clients of the outcome of that dialogue.</w:t>
      </w:r>
      <w:r w:rsidR="00C91DF7">
        <w:rPr>
          <w:rStyle w:val="FootnoteReference"/>
          <w:rFonts w:ascii="Arial" w:eastAsia="Times New Roman" w:hAnsi="Arial" w:cs="Arial"/>
          <w:sz w:val="20"/>
          <w:szCs w:val="20"/>
          <w:lang w:eastAsia="en-AU"/>
        </w:rPr>
        <w:footnoteReference w:id="4"/>
      </w:r>
    </w:p>
    <w:p w14:paraId="35FF4481" w14:textId="77777777" w:rsidR="005A5D5F" w:rsidRDefault="005A5D5F" w:rsidP="005A5D5F">
      <w:pPr>
        <w:tabs>
          <w:tab w:val="left" w:pos="450"/>
        </w:tabs>
        <w:rPr>
          <w:rFonts w:ascii="Arial" w:eastAsia="Times New Roman" w:hAnsi="Arial" w:cs="Arial"/>
          <w:sz w:val="20"/>
          <w:szCs w:val="20"/>
          <w:lang w:eastAsia="en-AU"/>
        </w:rPr>
      </w:pPr>
    </w:p>
    <w:p w14:paraId="75182EC3" w14:textId="438DE7B8" w:rsidR="001F23AD" w:rsidRPr="005A5D5F" w:rsidRDefault="001F23AD" w:rsidP="005A5D5F">
      <w:pPr>
        <w:tabs>
          <w:tab w:val="left" w:pos="450"/>
        </w:tabs>
        <w:rPr>
          <w:rFonts w:ascii="Arial" w:eastAsia="Times New Roman" w:hAnsi="Arial" w:cs="Arial"/>
          <w:sz w:val="20"/>
          <w:szCs w:val="20"/>
          <w:lang w:eastAsia="en-AU"/>
        </w:rPr>
      </w:pPr>
      <w:r w:rsidRPr="005A5D5F">
        <w:rPr>
          <w:rFonts w:ascii="Arial" w:eastAsia="Times New Roman" w:hAnsi="Arial" w:cs="Arial"/>
          <w:sz w:val="20"/>
          <w:szCs w:val="20"/>
          <w:lang w:eastAsia="en-AU"/>
        </w:rPr>
        <w:t xml:space="preserve">These </w:t>
      </w:r>
      <w:r w:rsidR="004D1360" w:rsidRPr="005A5D5F">
        <w:rPr>
          <w:rFonts w:ascii="Arial" w:eastAsia="Times New Roman" w:hAnsi="Arial" w:cs="Arial"/>
          <w:sz w:val="20"/>
          <w:szCs w:val="20"/>
          <w:lang w:eastAsia="en-AU"/>
        </w:rPr>
        <w:t xml:space="preserve">are a </w:t>
      </w:r>
      <w:r w:rsidRPr="005A5D5F">
        <w:rPr>
          <w:rFonts w:ascii="Arial" w:eastAsia="Times New Roman" w:hAnsi="Arial" w:cs="Arial"/>
          <w:sz w:val="20"/>
          <w:szCs w:val="20"/>
          <w:lang w:eastAsia="en-AU"/>
        </w:rPr>
        <w:t xml:space="preserve">balanced set of principles that </w:t>
      </w:r>
      <w:r w:rsidR="004D1360" w:rsidRPr="005A5D5F">
        <w:rPr>
          <w:rFonts w:ascii="Arial" w:eastAsia="Times New Roman" w:hAnsi="Arial" w:cs="Arial"/>
          <w:sz w:val="20"/>
          <w:szCs w:val="20"/>
          <w:lang w:eastAsia="en-AU"/>
        </w:rPr>
        <w:t>are internationally tested. AIRA</w:t>
      </w:r>
      <w:r w:rsidRPr="005A5D5F">
        <w:rPr>
          <w:rFonts w:ascii="Arial" w:eastAsia="Times New Roman" w:hAnsi="Arial" w:cs="Arial"/>
          <w:sz w:val="20"/>
          <w:szCs w:val="20"/>
          <w:lang w:eastAsia="en-AU"/>
        </w:rPr>
        <w:t xml:space="preserve"> believe</w:t>
      </w:r>
      <w:r w:rsidR="004D1360" w:rsidRPr="005A5D5F">
        <w:rPr>
          <w:rFonts w:ascii="Arial" w:eastAsia="Times New Roman" w:hAnsi="Arial" w:cs="Arial"/>
          <w:sz w:val="20"/>
          <w:szCs w:val="20"/>
          <w:lang w:eastAsia="en-AU"/>
        </w:rPr>
        <w:t>s that their adoption will</w:t>
      </w:r>
      <w:r w:rsidRPr="005A5D5F">
        <w:rPr>
          <w:rFonts w:ascii="Arial" w:eastAsia="Times New Roman" w:hAnsi="Arial" w:cs="Arial"/>
          <w:sz w:val="20"/>
          <w:szCs w:val="20"/>
          <w:lang w:eastAsia="en-AU"/>
        </w:rPr>
        <w:t xml:space="preserve"> foster</w:t>
      </w:r>
      <w:r w:rsidR="004D1360" w:rsidRPr="005A5D5F">
        <w:rPr>
          <w:rFonts w:ascii="Arial" w:eastAsia="Times New Roman" w:hAnsi="Arial" w:cs="Arial"/>
          <w:sz w:val="20"/>
          <w:szCs w:val="20"/>
          <w:lang w:eastAsia="en-AU"/>
        </w:rPr>
        <w:t xml:space="preserve"> more</w:t>
      </w:r>
      <w:r w:rsidRPr="005A5D5F">
        <w:rPr>
          <w:rFonts w:ascii="Arial" w:eastAsia="Times New Roman" w:hAnsi="Arial" w:cs="Arial"/>
          <w:sz w:val="20"/>
          <w:szCs w:val="20"/>
          <w:lang w:eastAsia="en-AU"/>
        </w:rPr>
        <w:t xml:space="preserve"> effective engagement between AIRA members, listed companies and proxy </w:t>
      </w:r>
      <w:r w:rsidR="00591F03" w:rsidRPr="005A5D5F">
        <w:rPr>
          <w:rFonts w:ascii="Arial" w:eastAsia="Times New Roman" w:hAnsi="Arial" w:cs="Arial"/>
          <w:sz w:val="20"/>
          <w:szCs w:val="20"/>
          <w:lang w:eastAsia="en-AU"/>
        </w:rPr>
        <w:t>advis</w:t>
      </w:r>
      <w:r w:rsidR="004D1360" w:rsidRPr="005A5D5F">
        <w:rPr>
          <w:rFonts w:ascii="Arial" w:eastAsia="Times New Roman" w:hAnsi="Arial" w:cs="Arial"/>
          <w:sz w:val="20"/>
          <w:szCs w:val="20"/>
          <w:lang w:eastAsia="en-AU"/>
        </w:rPr>
        <w:t xml:space="preserve">ory firms in Australia. </w:t>
      </w:r>
    </w:p>
    <w:p w14:paraId="291FD6A9" w14:textId="1B608820" w:rsidR="00014BBB" w:rsidRPr="000867E2" w:rsidRDefault="00442344" w:rsidP="000867E2">
      <w:pPr>
        <w:rPr>
          <w:rFonts w:ascii="Arial" w:hAnsi="Arial" w:cs="Arial"/>
          <w:b/>
          <w:bCs/>
          <w:color w:val="A50021"/>
          <w:sz w:val="20"/>
          <w:szCs w:val="20"/>
        </w:rPr>
      </w:pPr>
      <w:r w:rsidRPr="000867E2">
        <w:rPr>
          <w:rFonts w:ascii="Arial" w:hAnsi="Arial" w:cs="Arial"/>
          <w:b/>
          <w:bCs/>
          <w:color w:val="A50021"/>
          <w:sz w:val="20"/>
          <w:szCs w:val="20"/>
        </w:rPr>
        <w:t>Conclusion</w:t>
      </w:r>
    </w:p>
    <w:p w14:paraId="2B9DCBF5" w14:textId="670FC187" w:rsidR="001F23AD" w:rsidRPr="000867E2" w:rsidRDefault="00E17558" w:rsidP="000867E2">
      <w:pPr>
        <w:rPr>
          <w:rFonts w:ascii="Arial" w:hAnsi="Arial" w:cs="Arial"/>
          <w:sz w:val="20"/>
          <w:szCs w:val="20"/>
        </w:rPr>
      </w:pPr>
      <w:r>
        <w:rPr>
          <w:rFonts w:ascii="Arial" w:hAnsi="Arial" w:cs="Arial"/>
          <w:sz w:val="20"/>
          <w:szCs w:val="20"/>
        </w:rPr>
        <w:t>Thank you for the opportunity to provide these comments. We</w:t>
      </w:r>
      <w:r w:rsidR="00442344" w:rsidRPr="000867E2">
        <w:rPr>
          <w:rFonts w:ascii="Arial" w:hAnsi="Arial" w:cs="Arial"/>
          <w:sz w:val="20"/>
          <w:szCs w:val="20"/>
        </w:rPr>
        <w:t xml:space="preserve"> hope </w:t>
      </w:r>
      <w:r>
        <w:rPr>
          <w:rFonts w:ascii="Arial" w:hAnsi="Arial" w:cs="Arial"/>
          <w:sz w:val="20"/>
          <w:szCs w:val="20"/>
        </w:rPr>
        <w:t>our</w:t>
      </w:r>
      <w:r w:rsidR="00442344" w:rsidRPr="000867E2">
        <w:rPr>
          <w:rFonts w:ascii="Arial" w:hAnsi="Arial" w:cs="Arial"/>
          <w:sz w:val="20"/>
          <w:szCs w:val="20"/>
        </w:rPr>
        <w:t xml:space="preserve"> submission assists Treasury’s consultation.</w:t>
      </w:r>
      <w:r>
        <w:rPr>
          <w:rFonts w:ascii="Arial" w:hAnsi="Arial" w:cs="Arial"/>
          <w:sz w:val="20"/>
          <w:szCs w:val="20"/>
        </w:rPr>
        <w:t xml:space="preserve"> </w:t>
      </w:r>
      <w:r w:rsidR="00A56D57">
        <w:rPr>
          <w:rFonts w:ascii="Arial" w:hAnsi="Arial" w:cs="Arial"/>
          <w:sz w:val="20"/>
          <w:szCs w:val="20"/>
        </w:rPr>
        <w:t>A</w:t>
      </w:r>
      <w:r>
        <w:rPr>
          <w:rFonts w:ascii="Arial" w:hAnsi="Arial" w:cs="Arial"/>
          <w:sz w:val="20"/>
          <w:szCs w:val="20"/>
        </w:rPr>
        <w:t xml:space="preserve">s discussed, we have </w:t>
      </w:r>
      <w:r w:rsidR="0005317B">
        <w:rPr>
          <w:rFonts w:ascii="Arial" w:hAnsi="Arial" w:cs="Arial"/>
          <w:sz w:val="20"/>
          <w:szCs w:val="20"/>
        </w:rPr>
        <w:t xml:space="preserve">attached </w:t>
      </w:r>
      <w:r>
        <w:rPr>
          <w:rFonts w:ascii="Arial" w:hAnsi="Arial" w:cs="Arial"/>
          <w:sz w:val="20"/>
          <w:szCs w:val="20"/>
        </w:rPr>
        <w:t>copies of the following documents for your review and consideration:</w:t>
      </w:r>
    </w:p>
    <w:p w14:paraId="0882FF03" w14:textId="6B4A7335" w:rsidR="001F23AD" w:rsidRPr="0005317B" w:rsidRDefault="0005317B" w:rsidP="0005317B">
      <w:pPr>
        <w:pStyle w:val="ListParagraph"/>
        <w:numPr>
          <w:ilvl w:val="0"/>
          <w:numId w:val="22"/>
        </w:numPr>
        <w:tabs>
          <w:tab w:val="left" w:pos="450"/>
        </w:tabs>
        <w:ind w:left="450"/>
        <w:rPr>
          <w:rFonts w:ascii="Arial" w:eastAsia="Times New Roman" w:hAnsi="Arial" w:cs="Arial"/>
          <w:sz w:val="20"/>
          <w:szCs w:val="20"/>
          <w:lang w:eastAsia="en-AU"/>
        </w:rPr>
      </w:pPr>
      <w:r w:rsidRPr="0005317B">
        <w:rPr>
          <w:rFonts w:ascii="Arial" w:eastAsia="Times New Roman" w:hAnsi="Arial" w:cs="Arial"/>
          <w:sz w:val="20"/>
          <w:szCs w:val="20"/>
          <w:lang w:eastAsia="en-AU"/>
        </w:rPr>
        <w:t xml:space="preserve">The results of </w:t>
      </w:r>
      <w:r w:rsidR="001F23AD" w:rsidRPr="0005317B">
        <w:rPr>
          <w:rFonts w:ascii="Arial" w:eastAsia="Times New Roman" w:hAnsi="Arial" w:cs="Arial"/>
          <w:sz w:val="20"/>
          <w:szCs w:val="20"/>
          <w:lang w:eastAsia="en-AU"/>
        </w:rPr>
        <w:t xml:space="preserve">AIRA’s Snap Poll </w:t>
      </w:r>
      <w:r w:rsidRPr="0005317B">
        <w:rPr>
          <w:rFonts w:ascii="Arial" w:eastAsia="Times New Roman" w:hAnsi="Arial" w:cs="Arial"/>
          <w:sz w:val="20"/>
          <w:szCs w:val="20"/>
          <w:lang w:eastAsia="en-AU"/>
        </w:rPr>
        <w:t>of its members’</w:t>
      </w:r>
      <w:r w:rsidR="001F23AD" w:rsidRPr="0005317B">
        <w:rPr>
          <w:rFonts w:ascii="Arial" w:eastAsia="Times New Roman" w:hAnsi="Arial" w:cs="Arial"/>
          <w:sz w:val="20"/>
          <w:szCs w:val="20"/>
          <w:lang w:eastAsia="en-AU"/>
        </w:rPr>
        <w:t xml:space="preserve"> </w:t>
      </w:r>
      <w:r w:rsidRPr="0005317B">
        <w:rPr>
          <w:rFonts w:ascii="Arial" w:eastAsia="Times New Roman" w:hAnsi="Arial" w:cs="Arial"/>
          <w:sz w:val="20"/>
          <w:szCs w:val="20"/>
          <w:lang w:eastAsia="en-AU"/>
        </w:rPr>
        <w:t>views</w:t>
      </w:r>
      <w:r w:rsidR="001F23AD" w:rsidRPr="0005317B">
        <w:rPr>
          <w:rFonts w:ascii="Arial" w:eastAsia="Times New Roman" w:hAnsi="Arial" w:cs="Arial"/>
          <w:sz w:val="20"/>
          <w:szCs w:val="20"/>
          <w:lang w:eastAsia="en-AU"/>
        </w:rPr>
        <w:t xml:space="preserve"> on proxy advis</w:t>
      </w:r>
      <w:r w:rsidR="00591F03" w:rsidRPr="0005317B">
        <w:rPr>
          <w:rFonts w:ascii="Arial" w:eastAsia="Times New Roman" w:hAnsi="Arial" w:cs="Arial"/>
          <w:sz w:val="20"/>
          <w:szCs w:val="20"/>
          <w:lang w:eastAsia="en-AU"/>
        </w:rPr>
        <w:t>e</w:t>
      </w:r>
      <w:r w:rsidR="001F23AD" w:rsidRPr="0005317B">
        <w:rPr>
          <w:rFonts w:ascii="Arial" w:eastAsia="Times New Roman" w:hAnsi="Arial" w:cs="Arial"/>
          <w:sz w:val="20"/>
          <w:szCs w:val="20"/>
          <w:lang w:eastAsia="en-AU"/>
        </w:rPr>
        <w:t>rs and engagement practices</w:t>
      </w:r>
      <w:r w:rsidR="00A56D57">
        <w:rPr>
          <w:rFonts w:ascii="Arial" w:eastAsia="Times New Roman" w:hAnsi="Arial" w:cs="Arial"/>
          <w:sz w:val="20"/>
          <w:szCs w:val="20"/>
          <w:lang w:eastAsia="en-AU"/>
        </w:rPr>
        <w:t>; and</w:t>
      </w:r>
    </w:p>
    <w:p w14:paraId="570A3069" w14:textId="52D23BD1" w:rsidR="001F23AD" w:rsidRPr="0005317B" w:rsidRDefault="0005317B" w:rsidP="0005317B">
      <w:pPr>
        <w:pStyle w:val="ListParagraph"/>
        <w:numPr>
          <w:ilvl w:val="0"/>
          <w:numId w:val="22"/>
        </w:numPr>
        <w:tabs>
          <w:tab w:val="left" w:pos="450"/>
        </w:tabs>
        <w:ind w:left="450"/>
        <w:rPr>
          <w:rFonts w:ascii="Arial" w:eastAsia="Times New Roman" w:hAnsi="Arial" w:cs="Arial"/>
          <w:sz w:val="20"/>
          <w:szCs w:val="20"/>
          <w:lang w:eastAsia="en-AU"/>
        </w:rPr>
      </w:pPr>
      <w:r>
        <w:rPr>
          <w:rFonts w:ascii="Arial" w:eastAsia="Times New Roman" w:hAnsi="Arial" w:cs="Arial"/>
          <w:sz w:val="20"/>
          <w:szCs w:val="20"/>
          <w:lang w:eastAsia="en-AU"/>
        </w:rPr>
        <w:t xml:space="preserve">The </w:t>
      </w:r>
      <w:r w:rsidR="008A17C0" w:rsidRPr="0005317B">
        <w:rPr>
          <w:rFonts w:ascii="Arial" w:eastAsia="Times New Roman" w:hAnsi="Arial" w:cs="Arial"/>
          <w:sz w:val="20"/>
          <w:szCs w:val="20"/>
          <w:lang w:eastAsia="en-AU"/>
        </w:rPr>
        <w:t>Best Practice Principles for Providers of Shareholder Voting Research &amp; Analysis 2019 prepared by the Best Practices Principles Group</w:t>
      </w:r>
      <w:r>
        <w:rPr>
          <w:rFonts w:ascii="Arial" w:eastAsia="Times New Roman" w:hAnsi="Arial" w:cs="Arial"/>
          <w:sz w:val="20"/>
          <w:szCs w:val="20"/>
          <w:lang w:eastAsia="en-AU"/>
        </w:rPr>
        <w:t>.</w:t>
      </w:r>
    </w:p>
    <w:p w14:paraId="30BC19F6" w14:textId="77777777" w:rsidR="0005317B" w:rsidRDefault="0005317B" w:rsidP="00AF33D4">
      <w:pPr>
        <w:pStyle w:val="NoSpacing"/>
      </w:pPr>
    </w:p>
    <w:p w14:paraId="5BCC711B" w14:textId="6C3E376C" w:rsidR="00442344" w:rsidRPr="000867E2" w:rsidRDefault="00442344" w:rsidP="000867E2">
      <w:pPr>
        <w:rPr>
          <w:rFonts w:ascii="Arial" w:hAnsi="Arial" w:cs="Arial"/>
          <w:sz w:val="20"/>
          <w:szCs w:val="20"/>
        </w:rPr>
      </w:pPr>
      <w:r w:rsidRPr="000867E2">
        <w:rPr>
          <w:rFonts w:ascii="Arial" w:hAnsi="Arial" w:cs="Arial"/>
          <w:sz w:val="20"/>
          <w:szCs w:val="20"/>
        </w:rPr>
        <w:t xml:space="preserve">Should you wish to discuss </w:t>
      </w:r>
      <w:r w:rsidR="00AF33D4">
        <w:rPr>
          <w:rFonts w:ascii="Arial" w:hAnsi="Arial" w:cs="Arial"/>
          <w:sz w:val="20"/>
          <w:szCs w:val="20"/>
        </w:rPr>
        <w:t>AIRA’s comments</w:t>
      </w:r>
      <w:r w:rsidRPr="000867E2">
        <w:rPr>
          <w:rFonts w:ascii="Arial" w:hAnsi="Arial" w:cs="Arial"/>
          <w:sz w:val="20"/>
          <w:szCs w:val="20"/>
        </w:rPr>
        <w:t xml:space="preserve"> further, or require additional information, please do not hesitate to contact me at </w:t>
      </w:r>
      <w:hyperlink r:id="rId9" w:history="1">
        <w:r w:rsidRPr="000867E2">
          <w:rPr>
            <w:rStyle w:val="Hyperlink"/>
            <w:rFonts w:ascii="Arial" w:hAnsi="Arial" w:cs="Arial"/>
            <w:sz w:val="20"/>
            <w:szCs w:val="20"/>
          </w:rPr>
          <w:t>ian.matheson@aira.org.au</w:t>
        </w:r>
      </w:hyperlink>
      <w:r w:rsidRPr="000867E2">
        <w:rPr>
          <w:rFonts w:ascii="Arial" w:hAnsi="Arial" w:cs="Arial"/>
          <w:sz w:val="20"/>
          <w:szCs w:val="20"/>
        </w:rPr>
        <w:t xml:space="preserve">. </w:t>
      </w:r>
    </w:p>
    <w:p w14:paraId="4D1BFA24" w14:textId="28DCF671" w:rsidR="00442344" w:rsidRPr="000867E2" w:rsidRDefault="00AF33D4" w:rsidP="000867E2">
      <w:pPr>
        <w:rPr>
          <w:rFonts w:ascii="Arial" w:hAnsi="Arial" w:cs="Arial"/>
          <w:sz w:val="20"/>
          <w:szCs w:val="20"/>
        </w:rPr>
      </w:pPr>
      <w:r w:rsidRPr="000867E2">
        <w:rPr>
          <w:rFonts w:ascii="Arial" w:hAnsi="Arial" w:cs="Arial"/>
          <w:noProof/>
          <w:sz w:val="20"/>
          <w:szCs w:val="20"/>
          <w:lang w:eastAsia="en-AU"/>
        </w:rPr>
        <w:lastRenderedPageBreak/>
        <w:drawing>
          <wp:anchor distT="0" distB="0" distL="114300" distR="114300" simplePos="0" relativeHeight="251615744" behindDoc="0" locked="0" layoutInCell="1" allowOverlap="1" wp14:anchorId="110C27B1" wp14:editId="7881985A">
            <wp:simplePos x="0" y="0"/>
            <wp:positionH relativeFrom="column">
              <wp:posOffset>-240030</wp:posOffset>
            </wp:positionH>
            <wp:positionV relativeFrom="paragraph">
              <wp:posOffset>306433</wp:posOffset>
            </wp:positionV>
            <wp:extent cx="1766570" cy="1028700"/>
            <wp:effectExtent l="0" t="0" r="5080" b="0"/>
            <wp:wrapSquare wrapText="bothSides"/>
            <wp:docPr id="5" name="Picture 5"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 letter&#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6570" cy="1028700"/>
                    </a:xfrm>
                    <a:prstGeom prst="rect">
                      <a:avLst/>
                    </a:prstGeom>
                    <a:noFill/>
                  </pic:spPr>
                </pic:pic>
              </a:graphicData>
            </a:graphic>
            <wp14:sizeRelH relativeFrom="margin">
              <wp14:pctWidth>0</wp14:pctWidth>
            </wp14:sizeRelH>
            <wp14:sizeRelV relativeFrom="margin">
              <wp14:pctHeight>0</wp14:pctHeight>
            </wp14:sizeRelV>
          </wp:anchor>
        </w:drawing>
      </w:r>
      <w:r w:rsidR="00442344" w:rsidRPr="000867E2">
        <w:rPr>
          <w:rFonts w:ascii="Arial" w:hAnsi="Arial" w:cs="Arial"/>
          <w:sz w:val="20"/>
          <w:szCs w:val="20"/>
        </w:rPr>
        <w:t xml:space="preserve">Yours sincerely </w:t>
      </w:r>
    </w:p>
    <w:p w14:paraId="45580F0B" w14:textId="65EBF9D9" w:rsidR="00442344" w:rsidRPr="000867E2" w:rsidRDefault="00442344" w:rsidP="000867E2">
      <w:pPr>
        <w:rPr>
          <w:rFonts w:ascii="Arial" w:hAnsi="Arial" w:cs="Arial"/>
          <w:sz w:val="20"/>
          <w:szCs w:val="20"/>
        </w:rPr>
      </w:pPr>
      <w:r w:rsidRPr="000867E2">
        <w:rPr>
          <w:rFonts w:ascii="Arial" w:hAnsi="Arial" w:cs="Arial"/>
          <w:sz w:val="20"/>
          <w:szCs w:val="20"/>
        </w:rPr>
        <w:br/>
      </w:r>
    </w:p>
    <w:p w14:paraId="5E45FC46" w14:textId="77777777" w:rsidR="00442344" w:rsidRPr="000867E2" w:rsidRDefault="00442344" w:rsidP="000867E2">
      <w:pPr>
        <w:rPr>
          <w:rFonts w:ascii="Arial" w:hAnsi="Arial" w:cs="Arial"/>
          <w:sz w:val="20"/>
          <w:szCs w:val="20"/>
        </w:rPr>
      </w:pPr>
    </w:p>
    <w:p w14:paraId="3DEBFD1F" w14:textId="77777777" w:rsidR="00442344" w:rsidRPr="000867E2" w:rsidRDefault="00442344" w:rsidP="000867E2">
      <w:pPr>
        <w:rPr>
          <w:rFonts w:ascii="Arial" w:hAnsi="Arial" w:cs="Arial"/>
          <w:sz w:val="20"/>
          <w:szCs w:val="20"/>
        </w:rPr>
      </w:pPr>
    </w:p>
    <w:p w14:paraId="5E956B9D" w14:textId="77777777" w:rsidR="000867E2" w:rsidRDefault="000867E2" w:rsidP="000867E2">
      <w:pPr>
        <w:rPr>
          <w:rFonts w:ascii="Arial" w:hAnsi="Arial" w:cs="Arial"/>
          <w:sz w:val="20"/>
          <w:szCs w:val="20"/>
        </w:rPr>
      </w:pPr>
    </w:p>
    <w:p w14:paraId="083BDB56" w14:textId="42F57BA6" w:rsidR="00442344" w:rsidRPr="000867E2" w:rsidRDefault="00442344" w:rsidP="000867E2">
      <w:pPr>
        <w:rPr>
          <w:rFonts w:ascii="Arial" w:hAnsi="Arial" w:cs="Arial"/>
          <w:sz w:val="20"/>
          <w:szCs w:val="20"/>
        </w:rPr>
      </w:pPr>
      <w:r w:rsidRPr="000867E2">
        <w:rPr>
          <w:rFonts w:ascii="Arial" w:hAnsi="Arial" w:cs="Arial"/>
          <w:sz w:val="20"/>
          <w:szCs w:val="20"/>
        </w:rPr>
        <w:t>Ian Matheson</w:t>
      </w:r>
    </w:p>
    <w:p w14:paraId="7B5A329A" w14:textId="77777777" w:rsidR="00442344" w:rsidRPr="000867E2" w:rsidRDefault="00442344" w:rsidP="000867E2">
      <w:pPr>
        <w:rPr>
          <w:rFonts w:ascii="Arial" w:hAnsi="Arial" w:cs="Arial"/>
          <w:b/>
          <w:bCs/>
          <w:sz w:val="20"/>
          <w:szCs w:val="20"/>
        </w:rPr>
      </w:pPr>
      <w:r w:rsidRPr="000867E2">
        <w:rPr>
          <w:rFonts w:ascii="Arial" w:hAnsi="Arial" w:cs="Arial"/>
          <w:b/>
          <w:bCs/>
          <w:sz w:val="20"/>
          <w:szCs w:val="20"/>
        </w:rPr>
        <w:t>CEO, Australasian Investor Relations Association</w:t>
      </w:r>
    </w:p>
    <w:p w14:paraId="4E543F45" w14:textId="77777777" w:rsidR="00442344" w:rsidRPr="000867E2" w:rsidRDefault="00442344" w:rsidP="000867E2">
      <w:pPr>
        <w:rPr>
          <w:rFonts w:ascii="Arial" w:hAnsi="Arial" w:cs="Arial"/>
          <w:sz w:val="20"/>
          <w:szCs w:val="20"/>
        </w:rPr>
      </w:pPr>
    </w:p>
    <w:p w14:paraId="5F0B817E" w14:textId="577397A3" w:rsidR="004A2485" w:rsidRPr="000867E2" w:rsidRDefault="004A2485" w:rsidP="000962D2">
      <w:pPr>
        <w:jc w:val="both"/>
        <w:rPr>
          <w:rFonts w:ascii="Arial" w:hAnsi="Arial" w:cs="Arial"/>
          <w:b/>
          <w:bCs/>
          <w:sz w:val="20"/>
          <w:szCs w:val="20"/>
        </w:rPr>
      </w:pPr>
    </w:p>
    <w:bookmarkEnd w:id="1"/>
    <w:p w14:paraId="207C1B8D" w14:textId="77777777" w:rsidR="0016154D" w:rsidRPr="000867E2" w:rsidRDefault="0016154D" w:rsidP="000962D2">
      <w:pPr>
        <w:pStyle w:val="NoSpacing"/>
        <w:jc w:val="both"/>
        <w:rPr>
          <w:rFonts w:ascii="Arial" w:hAnsi="Arial" w:cs="Arial"/>
          <w:sz w:val="20"/>
          <w:szCs w:val="20"/>
          <w:lang w:val="en-US"/>
        </w:rPr>
      </w:pPr>
    </w:p>
    <w:sectPr w:rsidR="0016154D" w:rsidRPr="000867E2" w:rsidSect="00761246">
      <w:headerReference w:type="default" r:id="rId11"/>
      <w:footerReference w:type="default" r:id="rId12"/>
      <w:pgSz w:w="11907" w:h="16839" w:code="9"/>
      <w:pgMar w:top="1440" w:right="1440" w:bottom="1440" w:left="1440" w:header="187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2DD38" w14:textId="77777777" w:rsidR="00256677" w:rsidRDefault="00256677" w:rsidP="004B2B5D">
      <w:pPr>
        <w:spacing w:after="0" w:line="240" w:lineRule="auto"/>
      </w:pPr>
      <w:r>
        <w:separator/>
      </w:r>
    </w:p>
  </w:endnote>
  <w:endnote w:type="continuationSeparator" w:id="0">
    <w:p w14:paraId="1456D870" w14:textId="77777777" w:rsidR="00256677" w:rsidRDefault="00256677" w:rsidP="004B2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735666613"/>
      <w:docPartObj>
        <w:docPartGallery w:val="Page Numbers (Bottom of Page)"/>
        <w:docPartUnique/>
      </w:docPartObj>
    </w:sdtPr>
    <w:sdtEndPr/>
    <w:sdtContent>
      <w:sdt>
        <w:sdtPr>
          <w:rPr>
            <w:rFonts w:ascii="Arial" w:hAnsi="Arial" w:cs="Arial"/>
            <w:sz w:val="16"/>
            <w:szCs w:val="16"/>
          </w:rPr>
          <w:id w:val="-1769616900"/>
          <w:docPartObj>
            <w:docPartGallery w:val="Page Numbers (Top of Page)"/>
            <w:docPartUnique/>
          </w:docPartObj>
        </w:sdtPr>
        <w:sdtEndPr/>
        <w:sdtContent>
          <w:p w14:paraId="39A6A9F3" w14:textId="335DE22C" w:rsidR="008A17C0" w:rsidRPr="008A17C0" w:rsidRDefault="008A17C0">
            <w:pPr>
              <w:pStyle w:val="Footer"/>
              <w:jc w:val="right"/>
              <w:rPr>
                <w:rFonts w:ascii="Arial" w:hAnsi="Arial" w:cs="Arial"/>
                <w:sz w:val="16"/>
                <w:szCs w:val="16"/>
              </w:rPr>
            </w:pPr>
            <w:r w:rsidRPr="008A17C0">
              <w:rPr>
                <w:rFonts w:ascii="Arial" w:hAnsi="Arial" w:cs="Arial"/>
                <w:sz w:val="16"/>
                <w:szCs w:val="16"/>
              </w:rPr>
              <w:t xml:space="preserve">Page </w:t>
            </w:r>
            <w:r w:rsidRPr="008A17C0">
              <w:rPr>
                <w:rFonts w:ascii="Arial" w:hAnsi="Arial" w:cs="Arial"/>
                <w:b/>
                <w:bCs/>
                <w:sz w:val="16"/>
                <w:szCs w:val="16"/>
              </w:rPr>
              <w:fldChar w:fldCharType="begin"/>
            </w:r>
            <w:r w:rsidRPr="008A17C0">
              <w:rPr>
                <w:rFonts w:ascii="Arial" w:hAnsi="Arial" w:cs="Arial"/>
                <w:b/>
                <w:bCs/>
                <w:sz w:val="16"/>
                <w:szCs w:val="16"/>
              </w:rPr>
              <w:instrText xml:space="preserve"> PAGE </w:instrText>
            </w:r>
            <w:r w:rsidRPr="008A17C0">
              <w:rPr>
                <w:rFonts w:ascii="Arial" w:hAnsi="Arial" w:cs="Arial"/>
                <w:b/>
                <w:bCs/>
                <w:sz w:val="16"/>
                <w:szCs w:val="16"/>
              </w:rPr>
              <w:fldChar w:fldCharType="separate"/>
            </w:r>
            <w:r w:rsidRPr="008A17C0">
              <w:rPr>
                <w:rFonts w:ascii="Arial" w:hAnsi="Arial" w:cs="Arial"/>
                <w:b/>
                <w:bCs/>
                <w:noProof/>
                <w:sz w:val="16"/>
                <w:szCs w:val="16"/>
              </w:rPr>
              <w:t>2</w:t>
            </w:r>
            <w:r w:rsidRPr="008A17C0">
              <w:rPr>
                <w:rFonts w:ascii="Arial" w:hAnsi="Arial" w:cs="Arial"/>
                <w:b/>
                <w:bCs/>
                <w:sz w:val="16"/>
                <w:szCs w:val="16"/>
              </w:rPr>
              <w:fldChar w:fldCharType="end"/>
            </w:r>
            <w:r w:rsidRPr="008A17C0">
              <w:rPr>
                <w:rFonts w:ascii="Arial" w:hAnsi="Arial" w:cs="Arial"/>
                <w:sz w:val="16"/>
                <w:szCs w:val="16"/>
              </w:rPr>
              <w:t xml:space="preserve"> of </w:t>
            </w:r>
            <w:r w:rsidRPr="008A17C0">
              <w:rPr>
                <w:rFonts w:ascii="Arial" w:hAnsi="Arial" w:cs="Arial"/>
                <w:b/>
                <w:bCs/>
                <w:sz w:val="16"/>
                <w:szCs w:val="16"/>
              </w:rPr>
              <w:fldChar w:fldCharType="begin"/>
            </w:r>
            <w:r w:rsidRPr="008A17C0">
              <w:rPr>
                <w:rFonts w:ascii="Arial" w:hAnsi="Arial" w:cs="Arial"/>
                <w:b/>
                <w:bCs/>
                <w:sz w:val="16"/>
                <w:szCs w:val="16"/>
              </w:rPr>
              <w:instrText xml:space="preserve"> NUMPAGES  </w:instrText>
            </w:r>
            <w:r w:rsidRPr="008A17C0">
              <w:rPr>
                <w:rFonts w:ascii="Arial" w:hAnsi="Arial" w:cs="Arial"/>
                <w:b/>
                <w:bCs/>
                <w:sz w:val="16"/>
                <w:szCs w:val="16"/>
              </w:rPr>
              <w:fldChar w:fldCharType="separate"/>
            </w:r>
            <w:r w:rsidRPr="008A17C0">
              <w:rPr>
                <w:rFonts w:ascii="Arial" w:hAnsi="Arial" w:cs="Arial"/>
                <w:b/>
                <w:bCs/>
                <w:noProof/>
                <w:sz w:val="16"/>
                <w:szCs w:val="16"/>
              </w:rPr>
              <w:t>2</w:t>
            </w:r>
            <w:r w:rsidRPr="008A17C0">
              <w:rPr>
                <w:rFonts w:ascii="Arial" w:hAnsi="Arial" w:cs="Arial"/>
                <w:b/>
                <w:bCs/>
                <w:sz w:val="16"/>
                <w:szCs w:val="16"/>
              </w:rPr>
              <w:fldChar w:fldCharType="end"/>
            </w:r>
          </w:p>
        </w:sdtContent>
      </w:sdt>
    </w:sdtContent>
  </w:sdt>
  <w:p w14:paraId="2B07358C" w14:textId="21E71894" w:rsidR="00DB676B" w:rsidRDefault="00DB6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7EFFE" w14:textId="77777777" w:rsidR="00256677" w:rsidRDefault="00256677" w:rsidP="004B2B5D">
      <w:pPr>
        <w:spacing w:after="0" w:line="240" w:lineRule="auto"/>
      </w:pPr>
      <w:r>
        <w:separator/>
      </w:r>
    </w:p>
  </w:footnote>
  <w:footnote w:type="continuationSeparator" w:id="0">
    <w:p w14:paraId="19B38CB0" w14:textId="77777777" w:rsidR="00256677" w:rsidRDefault="00256677" w:rsidP="004B2B5D">
      <w:pPr>
        <w:spacing w:after="0" w:line="240" w:lineRule="auto"/>
      </w:pPr>
      <w:r>
        <w:continuationSeparator/>
      </w:r>
    </w:p>
  </w:footnote>
  <w:footnote w:id="1">
    <w:p w14:paraId="294B9135" w14:textId="77B67FB0" w:rsidR="009678F5" w:rsidRPr="00C91DF7" w:rsidRDefault="009678F5">
      <w:pPr>
        <w:pStyle w:val="FootnoteText"/>
        <w:rPr>
          <w:rFonts w:ascii="Arial" w:hAnsi="Arial" w:cs="Arial"/>
          <w:sz w:val="18"/>
          <w:szCs w:val="18"/>
        </w:rPr>
      </w:pPr>
      <w:r w:rsidRPr="00C91DF7">
        <w:rPr>
          <w:rStyle w:val="FootnoteReference"/>
          <w:rFonts w:ascii="Arial" w:hAnsi="Arial" w:cs="Arial"/>
          <w:sz w:val="18"/>
          <w:szCs w:val="18"/>
        </w:rPr>
        <w:footnoteRef/>
      </w:r>
      <w:r w:rsidRPr="00C91DF7">
        <w:rPr>
          <w:rFonts w:ascii="Arial" w:hAnsi="Arial" w:cs="Arial"/>
          <w:sz w:val="18"/>
          <w:szCs w:val="18"/>
        </w:rPr>
        <w:t xml:space="preserve"> Best Practice Principles Group, </w:t>
      </w:r>
      <w:r w:rsidRPr="00C91DF7">
        <w:rPr>
          <w:rFonts w:ascii="Arial" w:hAnsi="Arial" w:cs="Arial"/>
          <w:i/>
          <w:iCs/>
          <w:sz w:val="18"/>
          <w:szCs w:val="18"/>
        </w:rPr>
        <w:t>Best Practice Principles for Providers of Shareholder Voting Research &amp; Analysis 2019</w:t>
      </w:r>
      <w:r w:rsidRPr="00C91DF7">
        <w:rPr>
          <w:rFonts w:ascii="Arial" w:hAnsi="Arial" w:cs="Arial"/>
          <w:sz w:val="18"/>
          <w:szCs w:val="18"/>
        </w:rPr>
        <w:t>, p 5.</w:t>
      </w:r>
    </w:p>
  </w:footnote>
  <w:footnote w:id="2">
    <w:p w14:paraId="4CA98015" w14:textId="2DD1BA8E" w:rsidR="00C91DF7" w:rsidRPr="00C91DF7" w:rsidRDefault="00C91DF7">
      <w:pPr>
        <w:pStyle w:val="FootnoteText"/>
        <w:rPr>
          <w:rFonts w:ascii="Arial" w:hAnsi="Arial" w:cs="Arial"/>
          <w:sz w:val="18"/>
          <w:szCs w:val="18"/>
        </w:rPr>
      </w:pPr>
      <w:r w:rsidRPr="00C91DF7">
        <w:rPr>
          <w:rStyle w:val="FootnoteReference"/>
          <w:rFonts w:ascii="Arial" w:hAnsi="Arial" w:cs="Arial"/>
          <w:sz w:val="18"/>
          <w:szCs w:val="18"/>
        </w:rPr>
        <w:footnoteRef/>
      </w:r>
      <w:r w:rsidRPr="00C91DF7">
        <w:rPr>
          <w:rFonts w:ascii="Arial" w:hAnsi="Arial" w:cs="Arial"/>
          <w:sz w:val="18"/>
          <w:szCs w:val="18"/>
        </w:rPr>
        <w:t xml:space="preserve"> Ibid p 10.</w:t>
      </w:r>
    </w:p>
  </w:footnote>
  <w:footnote w:id="3">
    <w:p w14:paraId="1C499B13" w14:textId="652CDFFF" w:rsidR="00C91DF7" w:rsidRPr="00C91DF7" w:rsidRDefault="00C91DF7">
      <w:pPr>
        <w:pStyle w:val="FootnoteText"/>
        <w:rPr>
          <w:rFonts w:ascii="Arial" w:hAnsi="Arial" w:cs="Arial"/>
          <w:sz w:val="18"/>
          <w:szCs w:val="18"/>
        </w:rPr>
      </w:pPr>
      <w:r w:rsidRPr="00C91DF7">
        <w:rPr>
          <w:rStyle w:val="FootnoteReference"/>
          <w:rFonts w:ascii="Arial" w:hAnsi="Arial" w:cs="Arial"/>
          <w:sz w:val="18"/>
          <w:szCs w:val="18"/>
        </w:rPr>
        <w:footnoteRef/>
      </w:r>
      <w:r w:rsidRPr="00C91DF7">
        <w:rPr>
          <w:rFonts w:ascii="Arial" w:hAnsi="Arial" w:cs="Arial"/>
          <w:sz w:val="18"/>
          <w:szCs w:val="18"/>
        </w:rPr>
        <w:t xml:space="preserve"> Ibid p 11.</w:t>
      </w:r>
    </w:p>
  </w:footnote>
  <w:footnote w:id="4">
    <w:p w14:paraId="74A63D2D" w14:textId="676F924B" w:rsidR="00C91DF7" w:rsidRDefault="00C91DF7">
      <w:pPr>
        <w:pStyle w:val="FootnoteText"/>
      </w:pPr>
      <w:r w:rsidRPr="00C91DF7">
        <w:rPr>
          <w:rStyle w:val="FootnoteReference"/>
          <w:rFonts w:ascii="Arial" w:hAnsi="Arial" w:cs="Arial"/>
          <w:sz w:val="18"/>
          <w:szCs w:val="18"/>
        </w:rPr>
        <w:footnoteRef/>
      </w:r>
      <w:r w:rsidRPr="00C91DF7">
        <w:rPr>
          <w:rFonts w:ascii="Arial" w:hAnsi="Arial" w:cs="Arial"/>
          <w:sz w:val="18"/>
          <w:szCs w:val="18"/>
        </w:rPr>
        <w:t xml:space="preserve"> Ibid p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44421" w14:textId="3D9DF7ED" w:rsidR="004B2B5D" w:rsidRDefault="00761246">
    <w:pPr>
      <w:pStyle w:val="Header"/>
    </w:pPr>
    <w:r w:rsidRPr="004B2B5D">
      <w:rPr>
        <w:noProof/>
        <w:lang w:val="en-AU" w:eastAsia="en-AU"/>
      </w:rPr>
      <mc:AlternateContent>
        <mc:Choice Requires="wps">
          <w:drawing>
            <wp:anchor distT="0" distB="0" distL="114300" distR="114300" simplePos="0" relativeHeight="251670528" behindDoc="0" locked="0" layoutInCell="1" allowOverlap="1" wp14:anchorId="25F2347D" wp14:editId="019AD96C">
              <wp:simplePos x="0" y="0"/>
              <wp:positionH relativeFrom="column">
                <wp:posOffset>638175</wp:posOffset>
              </wp:positionH>
              <wp:positionV relativeFrom="paragraph">
                <wp:posOffset>22860</wp:posOffset>
              </wp:positionV>
              <wp:extent cx="52578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5257800" cy="0"/>
                      </a:xfrm>
                      <a:prstGeom prst="line">
                        <a:avLst/>
                      </a:prstGeom>
                      <a:ln>
                        <a:solidFill>
                          <a:srgbClr val="C416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w:pict>
            <v:line w14:anchorId="7C980164" id="Straight Connector 4"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8pt" to="464.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" strokecolor="#c4161c" strokeweight=".5pt">
              <v:stroke joinstyle="miter"/>
              <w10:wrap type="square"/>
            </v:line>
          </w:pict>
        </mc:Fallback>
      </mc:AlternateContent>
    </w:r>
    <w:r>
      <w:rPr>
        <w:noProof/>
        <w:lang w:val="en-AU" w:eastAsia="en-AU"/>
      </w:rPr>
      <w:drawing>
        <wp:anchor distT="0" distB="0" distL="114300" distR="114300" simplePos="0" relativeHeight="251673600" behindDoc="0" locked="0" layoutInCell="1" allowOverlap="1" wp14:anchorId="5F3E9628" wp14:editId="75E9DC61">
          <wp:simplePos x="0" y="0"/>
          <wp:positionH relativeFrom="column">
            <wp:posOffset>-672677</wp:posOffset>
          </wp:positionH>
          <wp:positionV relativeFrom="paragraph">
            <wp:posOffset>-1114637</wp:posOffset>
          </wp:positionV>
          <wp:extent cx="1248410" cy="1216660"/>
          <wp:effectExtent l="0" t="0" r="8890" b="254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8410" cy="1216660"/>
                  </a:xfrm>
                  <a:prstGeom prst="rect">
                    <a:avLst/>
                  </a:prstGeom>
                </pic:spPr>
              </pic:pic>
            </a:graphicData>
          </a:graphic>
        </wp:anchor>
      </w:drawing>
    </w:r>
    <w:r w:rsidRPr="004B2B5D">
      <w:rPr>
        <w:noProof/>
        <w:lang w:val="en-AU" w:eastAsia="en-AU"/>
      </w:rPr>
      <mc:AlternateContent>
        <mc:Choice Requires="wps">
          <w:drawing>
            <wp:anchor distT="0" distB="0" distL="114300" distR="114300" simplePos="0" relativeHeight="251654144" behindDoc="0" locked="0" layoutInCell="1" allowOverlap="1" wp14:anchorId="0BD157B6" wp14:editId="0999C6F2">
              <wp:simplePos x="0" y="0"/>
              <wp:positionH relativeFrom="column">
                <wp:posOffset>576368</wp:posOffset>
              </wp:positionH>
              <wp:positionV relativeFrom="paragraph">
                <wp:posOffset>-918634</wp:posOffset>
              </wp:positionV>
              <wp:extent cx="5600700" cy="89535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0070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AE70DC" w14:textId="77777777" w:rsidR="004B2B5D" w:rsidRDefault="004B2B5D" w:rsidP="004B2B5D"/>
                        <w:p w14:paraId="232C70FB" w14:textId="77777777" w:rsidR="004B2B5D" w:rsidRPr="004B2B5D" w:rsidRDefault="004B2B5D" w:rsidP="00CB19B6">
                          <w:pPr>
                            <w:pStyle w:val="Default"/>
                            <w:rPr>
                              <w:color w:val="000000" w:themeColor="text1"/>
                              <w:sz w:val="16"/>
                              <w:szCs w:val="16"/>
                            </w:rPr>
                          </w:pPr>
                          <w:r w:rsidRPr="00FF3D1E">
                            <w:rPr>
                              <w:color w:val="C4161C"/>
                              <w:sz w:val="16"/>
                              <w:szCs w:val="16"/>
                            </w:rPr>
                            <w:t>AUSTRALASIAN INVESTOR RELATIONS ASSOCIATION</w:t>
                          </w:r>
                          <w:r>
                            <w:rPr>
                              <w:color w:val="C4161C"/>
                              <w:sz w:val="16"/>
                              <w:szCs w:val="16"/>
                            </w:rPr>
                            <w:br/>
                          </w:r>
                          <w:r w:rsidR="00CB19B6">
                            <w:rPr>
                              <w:sz w:val="16"/>
                              <w:szCs w:val="16"/>
                            </w:rPr>
                            <w:t>ABN 66095554153</w:t>
                          </w:r>
                          <w:r w:rsidR="00CB19B6">
                            <w:rPr>
                              <w:color w:val="000000" w:themeColor="text1"/>
                              <w:sz w:val="16"/>
                              <w:szCs w:val="16"/>
                            </w:rPr>
                            <w:br/>
                          </w:r>
                          <w:r w:rsidRPr="004B2B5D">
                            <w:rPr>
                              <w:color w:val="000000" w:themeColor="text1"/>
                              <w:sz w:val="16"/>
                              <w:szCs w:val="16"/>
                            </w:rPr>
                            <w:t>GPO Box 1365, Sydney NSW 2001</w:t>
                          </w:r>
                          <w:r w:rsidRPr="004B2B5D">
                            <w:rPr>
                              <w:color w:val="000000" w:themeColor="text1"/>
                              <w:sz w:val="16"/>
                              <w:szCs w:val="16"/>
                            </w:rPr>
                            <w:br/>
                            <w:t>T: +61 2 9872 9100 | F +61 2 9872 9200 | www.aira.org.au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D157B6" id="_x0000_t202" coordsize="21600,21600" o:spt="202" path="m,l,21600r21600,l21600,xe">
              <v:stroke joinstyle="miter"/>
              <v:path gradientshapeok="t" o:connecttype="rect"/>
            </v:shapetype>
            <v:shape id="Text Box 3" o:spid="_x0000_s1030" type="#_x0000_t202" style="position:absolute;margin-left:45.4pt;margin-top:-72.35pt;width:441pt;height: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" fillcolor="white [3201]" stroked="f" strokeweight=".5pt">
              <v:textbox>
                <w:txbxContent>
                  <w:p w14:paraId="34AE70DC" w14:textId="77777777" w:rsidR="004B2B5D" w:rsidRDefault="004B2B5D" w:rsidP="004B2B5D"/>
                  <w:p w14:paraId="232C70FB" w14:textId="77777777" w:rsidR="004B2B5D" w:rsidRPr="004B2B5D" w:rsidRDefault="004B2B5D" w:rsidP="00CB19B6">
                    <w:pPr>
                      <w:pStyle w:val="Default"/>
                      <w:rPr>
                        <w:color w:val="000000" w:themeColor="text1"/>
                        <w:sz w:val="16"/>
                        <w:szCs w:val="16"/>
                      </w:rPr>
                    </w:pPr>
                    <w:r w:rsidRPr="00FF3D1E">
                      <w:rPr>
                        <w:color w:val="C4161C"/>
                        <w:sz w:val="16"/>
                        <w:szCs w:val="16"/>
                      </w:rPr>
                      <w:t>AUSTRALASIAN INVESTOR RELATIONS ASSOCIATION</w:t>
                    </w:r>
                    <w:r>
                      <w:rPr>
                        <w:color w:val="C4161C"/>
                        <w:sz w:val="16"/>
                        <w:szCs w:val="16"/>
                      </w:rPr>
                      <w:br/>
                    </w:r>
                    <w:r w:rsidR="00CB19B6">
                      <w:rPr>
                        <w:sz w:val="16"/>
                        <w:szCs w:val="16"/>
                      </w:rPr>
                      <w:t>ABN 66095554153</w:t>
                    </w:r>
                    <w:r w:rsidR="00CB19B6">
                      <w:rPr>
                        <w:color w:val="000000" w:themeColor="text1"/>
                        <w:sz w:val="16"/>
                        <w:szCs w:val="16"/>
                      </w:rPr>
                      <w:br/>
                    </w:r>
                    <w:r w:rsidRPr="004B2B5D">
                      <w:rPr>
                        <w:color w:val="000000" w:themeColor="text1"/>
                        <w:sz w:val="16"/>
                        <w:szCs w:val="16"/>
                      </w:rPr>
                      <w:t>GPO Box 1365, Sydney NSW 2001</w:t>
                    </w:r>
                    <w:r w:rsidRPr="004B2B5D">
                      <w:rPr>
                        <w:color w:val="000000" w:themeColor="text1"/>
                        <w:sz w:val="16"/>
                        <w:szCs w:val="16"/>
                      </w:rPr>
                      <w:br/>
                      <w:t>T: +61 2 9872 9100 | F +61 2 9872 9200 | www.aira.org.au</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6493D"/>
    <w:multiLevelType w:val="hybridMultilevel"/>
    <w:tmpl w:val="C35C199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2155E1"/>
    <w:multiLevelType w:val="hybridMultilevel"/>
    <w:tmpl w:val="D930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5061D8"/>
    <w:multiLevelType w:val="hybridMultilevel"/>
    <w:tmpl w:val="BBCCF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115076"/>
    <w:multiLevelType w:val="hybridMultilevel"/>
    <w:tmpl w:val="FA4E4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92EAB"/>
    <w:multiLevelType w:val="hybridMultilevel"/>
    <w:tmpl w:val="9ADA2E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2C65A65"/>
    <w:multiLevelType w:val="hybridMultilevel"/>
    <w:tmpl w:val="6130CE74"/>
    <w:lvl w:ilvl="0" w:tplc="BBE498F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9278CD"/>
    <w:multiLevelType w:val="hybridMultilevel"/>
    <w:tmpl w:val="6928C212"/>
    <w:lvl w:ilvl="0" w:tplc="EBBC192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0A52C9"/>
    <w:multiLevelType w:val="hybridMultilevel"/>
    <w:tmpl w:val="6A06E1C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35F5A72"/>
    <w:multiLevelType w:val="hybridMultilevel"/>
    <w:tmpl w:val="30CC49D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454A6935"/>
    <w:multiLevelType w:val="hybridMultilevel"/>
    <w:tmpl w:val="C1B8230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470B2CE3"/>
    <w:multiLevelType w:val="hybridMultilevel"/>
    <w:tmpl w:val="713C8CB6"/>
    <w:lvl w:ilvl="0" w:tplc="16168ABA">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FE7993"/>
    <w:multiLevelType w:val="hybridMultilevel"/>
    <w:tmpl w:val="8A123DFA"/>
    <w:lvl w:ilvl="0" w:tplc="1000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BCB3D50"/>
    <w:multiLevelType w:val="hybridMultilevel"/>
    <w:tmpl w:val="EBC4432E"/>
    <w:lvl w:ilvl="0" w:tplc="C4FC8F9C">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13" w15:restartNumberingAfterBreak="0">
    <w:nsid w:val="5E8737CB"/>
    <w:multiLevelType w:val="hybridMultilevel"/>
    <w:tmpl w:val="26863A96"/>
    <w:lvl w:ilvl="0" w:tplc="BBE498F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152483B"/>
    <w:multiLevelType w:val="hybridMultilevel"/>
    <w:tmpl w:val="62280944"/>
    <w:lvl w:ilvl="0" w:tplc="16168ABA">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D86058D"/>
    <w:multiLevelType w:val="hybridMultilevel"/>
    <w:tmpl w:val="879039C0"/>
    <w:lvl w:ilvl="0" w:tplc="1298BBC2">
      <w:start w:val="1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13507D"/>
    <w:multiLevelType w:val="hybridMultilevel"/>
    <w:tmpl w:val="00B2FE6C"/>
    <w:lvl w:ilvl="0" w:tplc="BBE498F4">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A241310"/>
    <w:multiLevelType w:val="hybridMultilevel"/>
    <w:tmpl w:val="F976EF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8"/>
  </w:num>
  <w:num w:numId="6">
    <w:abstractNumId w:val="7"/>
  </w:num>
  <w:num w:numId="7">
    <w:abstractNumId w:val="9"/>
  </w:num>
  <w:num w:numId="8">
    <w:abstractNumId w:val="8"/>
  </w:num>
  <w:num w:numId="9">
    <w:abstractNumId w:val="7"/>
  </w:num>
  <w:num w:numId="10">
    <w:abstractNumId w:val="9"/>
  </w:num>
  <w:num w:numId="11">
    <w:abstractNumId w:val="15"/>
  </w:num>
  <w:num w:numId="12">
    <w:abstractNumId w:val="17"/>
  </w:num>
  <w:num w:numId="13">
    <w:abstractNumId w:val="12"/>
  </w:num>
  <w:num w:numId="14">
    <w:abstractNumId w:val="16"/>
  </w:num>
  <w:num w:numId="15">
    <w:abstractNumId w:val="5"/>
  </w:num>
  <w:num w:numId="16">
    <w:abstractNumId w:val="13"/>
  </w:num>
  <w:num w:numId="17">
    <w:abstractNumId w:val="2"/>
  </w:num>
  <w:num w:numId="18">
    <w:abstractNumId w:val="10"/>
  </w:num>
  <w:num w:numId="19">
    <w:abstractNumId w:val="0"/>
  </w:num>
  <w:num w:numId="20">
    <w:abstractNumId w:val="14"/>
  </w:num>
  <w:num w:numId="21">
    <w:abstractNumId w:val="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5D"/>
    <w:rsid w:val="00014BBB"/>
    <w:rsid w:val="0005317B"/>
    <w:rsid w:val="000867E2"/>
    <w:rsid w:val="00095B5A"/>
    <w:rsid w:val="000962D2"/>
    <w:rsid w:val="000979E4"/>
    <w:rsid w:val="000A4721"/>
    <w:rsid w:val="0014319D"/>
    <w:rsid w:val="00152B31"/>
    <w:rsid w:val="0016154D"/>
    <w:rsid w:val="001675FE"/>
    <w:rsid w:val="0017345E"/>
    <w:rsid w:val="001F23AD"/>
    <w:rsid w:val="002044A4"/>
    <w:rsid w:val="00212491"/>
    <w:rsid w:val="00233A7E"/>
    <w:rsid w:val="00256677"/>
    <w:rsid w:val="00294773"/>
    <w:rsid w:val="002B6D28"/>
    <w:rsid w:val="002D0EEB"/>
    <w:rsid w:val="002E68A6"/>
    <w:rsid w:val="003113DE"/>
    <w:rsid w:val="003307B2"/>
    <w:rsid w:val="00330B1B"/>
    <w:rsid w:val="003332D8"/>
    <w:rsid w:val="003635DB"/>
    <w:rsid w:val="003829D9"/>
    <w:rsid w:val="00385518"/>
    <w:rsid w:val="003F1A9C"/>
    <w:rsid w:val="004021F1"/>
    <w:rsid w:val="00407914"/>
    <w:rsid w:val="0041500D"/>
    <w:rsid w:val="00426E3E"/>
    <w:rsid w:val="00442344"/>
    <w:rsid w:val="00447155"/>
    <w:rsid w:val="004510C6"/>
    <w:rsid w:val="00460AE2"/>
    <w:rsid w:val="00464ECE"/>
    <w:rsid w:val="004A2485"/>
    <w:rsid w:val="004B2B5D"/>
    <w:rsid w:val="004D1360"/>
    <w:rsid w:val="00500897"/>
    <w:rsid w:val="005264C5"/>
    <w:rsid w:val="00584C73"/>
    <w:rsid w:val="00591F03"/>
    <w:rsid w:val="005A3D4F"/>
    <w:rsid w:val="005A5D5F"/>
    <w:rsid w:val="005B619F"/>
    <w:rsid w:val="005C38F3"/>
    <w:rsid w:val="005D1ED1"/>
    <w:rsid w:val="005F0837"/>
    <w:rsid w:val="005F3FDD"/>
    <w:rsid w:val="005F4E83"/>
    <w:rsid w:val="00612293"/>
    <w:rsid w:val="00613C95"/>
    <w:rsid w:val="00617829"/>
    <w:rsid w:val="0066659B"/>
    <w:rsid w:val="00681CCA"/>
    <w:rsid w:val="00685892"/>
    <w:rsid w:val="006C70E8"/>
    <w:rsid w:val="006E612C"/>
    <w:rsid w:val="006F3545"/>
    <w:rsid w:val="00724E2D"/>
    <w:rsid w:val="00761246"/>
    <w:rsid w:val="00764EEB"/>
    <w:rsid w:val="00767EEA"/>
    <w:rsid w:val="00772635"/>
    <w:rsid w:val="007D4A20"/>
    <w:rsid w:val="007F7BFC"/>
    <w:rsid w:val="00824BB6"/>
    <w:rsid w:val="00842CAC"/>
    <w:rsid w:val="008451E0"/>
    <w:rsid w:val="00852C91"/>
    <w:rsid w:val="0086717F"/>
    <w:rsid w:val="00892E9A"/>
    <w:rsid w:val="008A17C0"/>
    <w:rsid w:val="008D2DBF"/>
    <w:rsid w:val="008F5772"/>
    <w:rsid w:val="0095710C"/>
    <w:rsid w:val="009662B3"/>
    <w:rsid w:val="009678F5"/>
    <w:rsid w:val="00983B05"/>
    <w:rsid w:val="00987B64"/>
    <w:rsid w:val="009A1464"/>
    <w:rsid w:val="009A50CC"/>
    <w:rsid w:val="009C12AA"/>
    <w:rsid w:val="00A45BC4"/>
    <w:rsid w:val="00A524BE"/>
    <w:rsid w:val="00A56D57"/>
    <w:rsid w:val="00A73A65"/>
    <w:rsid w:val="00A835DC"/>
    <w:rsid w:val="00AB5492"/>
    <w:rsid w:val="00AE5B26"/>
    <w:rsid w:val="00AF33D4"/>
    <w:rsid w:val="00B0448D"/>
    <w:rsid w:val="00B26772"/>
    <w:rsid w:val="00B36353"/>
    <w:rsid w:val="00B44A14"/>
    <w:rsid w:val="00BB286F"/>
    <w:rsid w:val="00BB77EC"/>
    <w:rsid w:val="00BD65EC"/>
    <w:rsid w:val="00BE70D5"/>
    <w:rsid w:val="00C07AD7"/>
    <w:rsid w:val="00C36E8F"/>
    <w:rsid w:val="00C602F3"/>
    <w:rsid w:val="00C6791A"/>
    <w:rsid w:val="00C82D99"/>
    <w:rsid w:val="00C91DF7"/>
    <w:rsid w:val="00C93F52"/>
    <w:rsid w:val="00C962C4"/>
    <w:rsid w:val="00CA3359"/>
    <w:rsid w:val="00CB19B6"/>
    <w:rsid w:val="00CB3744"/>
    <w:rsid w:val="00CC59D2"/>
    <w:rsid w:val="00D073EF"/>
    <w:rsid w:val="00D15AB7"/>
    <w:rsid w:val="00D31C5D"/>
    <w:rsid w:val="00D3562A"/>
    <w:rsid w:val="00D553EA"/>
    <w:rsid w:val="00D55CB9"/>
    <w:rsid w:val="00D65FF0"/>
    <w:rsid w:val="00D74C18"/>
    <w:rsid w:val="00DB676B"/>
    <w:rsid w:val="00DD01EF"/>
    <w:rsid w:val="00DD6FAF"/>
    <w:rsid w:val="00E05BDA"/>
    <w:rsid w:val="00E17558"/>
    <w:rsid w:val="00E90F75"/>
    <w:rsid w:val="00E97938"/>
    <w:rsid w:val="00EB34B7"/>
    <w:rsid w:val="00EF2D84"/>
    <w:rsid w:val="00EF30C3"/>
    <w:rsid w:val="00F1492C"/>
    <w:rsid w:val="00F37009"/>
    <w:rsid w:val="00F67E21"/>
    <w:rsid w:val="00F82D19"/>
    <w:rsid w:val="00F878A6"/>
    <w:rsid w:val="00FB7A1E"/>
    <w:rsid w:val="00FC5668"/>
    <w:rsid w:val="00FF3846"/>
    <w:rsid w:val="00FF3D1E"/>
    <w:rsid w:val="00FF4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DD5AA2"/>
  <w15:docId w15:val="{56367054-E82A-418D-8BDF-B96150797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B5D"/>
  </w:style>
  <w:style w:type="paragraph" w:styleId="Footer">
    <w:name w:val="footer"/>
    <w:basedOn w:val="Normal"/>
    <w:link w:val="FooterChar"/>
    <w:uiPriority w:val="99"/>
    <w:unhideWhenUsed/>
    <w:rsid w:val="004B2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2B5D"/>
  </w:style>
  <w:style w:type="paragraph" w:styleId="BalloonText">
    <w:name w:val="Balloon Text"/>
    <w:basedOn w:val="Normal"/>
    <w:link w:val="BalloonTextChar"/>
    <w:uiPriority w:val="99"/>
    <w:semiHidden/>
    <w:unhideWhenUsed/>
    <w:rsid w:val="00B44A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14"/>
    <w:rPr>
      <w:rFonts w:ascii="Segoe UI" w:hAnsi="Segoe UI" w:cs="Segoe UI"/>
      <w:sz w:val="18"/>
      <w:szCs w:val="18"/>
    </w:rPr>
  </w:style>
  <w:style w:type="paragraph" w:customStyle="1" w:styleId="Default">
    <w:name w:val="Default"/>
    <w:rsid w:val="00CB19B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29D9"/>
    <w:pPr>
      <w:spacing w:after="0" w:line="240" w:lineRule="auto"/>
      <w:ind w:left="720"/>
      <w:contextualSpacing/>
    </w:pPr>
    <w:rPr>
      <w:rFonts w:ascii="Calibri" w:hAnsi="Calibri" w:cs="Calibri"/>
      <w:lang w:val="en-AU"/>
    </w:rPr>
  </w:style>
  <w:style w:type="character" w:styleId="Hyperlink">
    <w:name w:val="Hyperlink"/>
    <w:basedOn w:val="DefaultParagraphFont"/>
    <w:uiPriority w:val="99"/>
    <w:unhideWhenUsed/>
    <w:rsid w:val="00294773"/>
    <w:rPr>
      <w:color w:val="0563C1" w:themeColor="hyperlink"/>
      <w:u w:val="single"/>
    </w:rPr>
  </w:style>
  <w:style w:type="paragraph" w:styleId="NoSpacing">
    <w:name w:val="No Spacing"/>
    <w:uiPriority w:val="1"/>
    <w:qFormat/>
    <w:rsid w:val="0016154D"/>
    <w:pPr>
      <w:spacing w:after="0" w:line="240" w:lineRule="auto"/>
    </w:pPr>
    <w:rPr>
      <w:lang w:val="en-AU"/>
    </w:rPr>
  </w:style>
  <w:style w:type="character" w:styleId="UnresolvedMention">
    <w:name w:val="Unresolved Mention"/>
    <w:basedOn w:val="DefaultParagraphFont"/>
    <w:uiPriority w:val="99"/>
    <w:semiHidden/>
    <w:unhideWhenUsed/>
    <w:rsid w:val="00E97938"/>
    <w:rPr>
      <w:color w:val="605E5C"/>
      <w:shd w:val="clear" w:color="auto" w:fill="E1DFDD"/>
    </w:rPr>
  </w:style>
  <w:style w:type="paragraph" w:styleId="NormalWeb">
    <w:name w:val="Normal (Web)"/>
    <w:basedOn w:val="Normal"/>
    <w:uiPriority w:val="99"/>
    <w:unhideWhenUsed/>
    <w:rsid w:val="009A146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FootnoteText">
    <w:name w:val="footnote text"/>
    <w:basedOn w:val="Normal"/>
    <w:link w:val="FootnoteTextChar"/>
    <w:uiPriority w:val="99"/>
    <w:semiHidden/>
    <w:unhideWhenUsed/>
    <w:rsid w:val="009678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678F5"/>
    <w:rPr>
      <w:sz w:val="20"/>
      <w:szCs w:val="20"/>
    </w:rPr>
  </w:style>
  <w:style w:type="character" w:styleId="FootnoteReference">
    <w:name w:val="footnote reference"/>
    <w:basedOn w:val="DefaultParagraphFont"/>
    <w:uiPriority w:val="99"/>
    <w:semiHidden/>
    <w:unhideWhenUsed/>
    <w:rsid w:val="009678F5"/>
    <w:rPr>
      <w:vertAlign w:val="superscript"/>
    </w:rPr>
  </w:style>
  <w:style w:type="character" w:styleId="CommentReference">
    <w:name w:val="annotation reference"/>
    <w:basedOn w:val="DefaultParagraphFont"/>
    <w:uiPriority w:val="99"/>
    <w:semiHidden/>
    <w:unhideWhenUsed/>
    <w:rsid w:val="00D073EF"/>
    <w:rPr>
      <w:sz w:val="16"/>
      <w:szCs w:val="16"/>
    </w:rPr>
  </w:style>
  <w:style w:type="paragraph" w:styleId="CommentText">
    <w:name w:val="annotation text"/>
    <w:basedOn w:val="Normal"/>
    <w:link w:val="CommentTextChar"/>
    <w:uiPriority w:val="99"/>
    <w:semiHidden/>
    <w:unhideWhenUsed/>
    <w:rsid w:val="00D073EF"/>
    <w:pPr>
      <w:spacing w:line="240" w:lineRule="auto"/>
    </w:pPr>
    <w:rPr>
      <w:sz w:val="20"/>
      <w:szCs w:val="20"/>
    </w:rPr>
  </w:style>
  <w:style w:type="character" w:customStyle="1" w:styleId="CommentTextChar">
    <w:name w:val="Comment Text Char"/>
    <w:basedOn w:val="DefaultParagraphFont"/>
    <w:link w:val="CommentText"/>
    <w:uiPriority w:val="99"/>
    <w:semiHidden/>
    <w:rsid w:val="00D073EF"/>
    <w:rPr>
      <w:sz w:val="20"/>
      <w:szCs w:val="20"/>
    </w:rPr>
  </w:style>
  <w:style w:type="paragraph" w:styleId="CommentSubject">
    <w:name w:val="annotation subject"/>
    <w:basedOn w:val="CommentText"/>
    <w:next w:val="CommentText"/>
    <w:link w:val="CommentSubjectChar"/>
    <w:uiPriority w:val="99"/>
    <w:semiHidden/>
    <w:unhideWhenUsed/>
    <w:rsid w:val="00D073EF"/>
    <w:rPr>
      <w:b/>
      <w:bCs/>
    </w:rPr>
  </w:style>
  <w:style w:type="character" w:customStyle="1" w:styleId="CommentSubjectChar">
    <w:name w:val="Comment Subject Char"/>
    <w:basedOn w:val="CommentTextChar"/>
    <w:link w:val="CommentSubject"/>
    <w:uiPriority w:val="99"/>
    <w:semiHidden/>
    <w:rsid w:val="00D073E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889779">
      <w:bodyDiv w:val="1"/>
      <w:marLeft w:val="0"/>
      <w:marRight w:val="0"/>
      <w:marTop w:val="0"/>
      <w:marBottom w:val="0"/>
      <w:divBdr>
        <w:top w:val="none" w:sz="0" w:space="0" w:color="auto"/>
        <w:left w:val="none" w:sz="0" w:space="0" w:color="auto"/>
        <w:bottom w:val="none" w:sz="0" w:space="0" w:color="auto"/>
        <w:right w:val="none" w:sz="0" w:space="0" w:color="auto"/>
      </w:divBdr>
    </w:div>
    <w:div w:id="553735619">
      <w:bodyDiv w:val="1"/>
      <w:marLeft w:val="0"/>
      <w:marRight w:val="0"/>
      <w:marTop w:val="0"/>
      <w:marBottom w:val="0"/>
      <w:divBdr>
        <w:top w:val="none" w:sz="0" w:space="0" w:color="auto"/>
        <w:left w:val="none" w:sz="0" w:space="0" w:color="auto"/>
        <w:bottom w:val="none" w:sz="0" w:space="0" w:color="auto"/>
        <w:right w:val="none" w:sz="0" w:space="0" w:color="auto"/>
      </w:divBdr>
      <w:divsChild>
        <w:div w:id="1450128943">
          <w:marLeft w:val="0"/>
          <w:marRight w:val="0"/>
          <w:marTop w:val="0"/>
          <w:marBottom w:val="0"/>
          <w:divBdr>
            <w:top w:val="none" w:sz="0" w:space="0" w:color="auto"/>
            <w:left w:val="none" w:sz="0" w:space="0" w:color="auto"/>
            <w:bottom w:val="none" w:sz="0" w:space="0" w:color="auto"/>
            <w:right w:val="none" w:sz="0" w:space="0" w:color="auto"/>
          </w:divBdr>
        </w:div>
      </w:divsChild>
    </w:div>
    <w:div w:id="1129857294">
      <w:bodyDiv w:val="1"/>
      <w:marLeft w:val="0"/>
      <w:marRight w:val="0"/>
      <w:marTop w:val="0"/>
      <w:marBottom w:val="0"/>
      <w:divBdr>
        <w:top w:val="none" w:sz="0" w:space="0" w:color="auto"/>
        <w:left w:val="none" w:sz="0" w:space="0" w:color="auto"/>
        <w:bottom w:val="none" w:sz="0" w:space="0" w:color="auto"/>
        <w:right w:val="none" w:sz="0" w:space="0" w:color="auto"/>
      </w:divBdr>
    </w:div>
    <w:div w:id="1268386913">
      <w:bodyDiv w:val="1"/>
      <w:marLeft w:val="0"/>
      <w:marRight w:val="0"/>
      <w:marTop w:val="0"/>
      <w:marBottom w:val="0"/>
      <w:divBdr>
        <w:top w:val="none" w:sz="0" w:space="0" w:color="auto"/>
        <w:left w:val="none" w:sz="0" w:space="0" w:color="auto"/>
        <w:bottom w:val="none" w:sz="0" w:space="0" w:color="auto"/>
        <w:right w:val="none" w:sz="0" w:space="0" w:color="auto"/>
      </w:divBdr>
    </w:div>
    <w:div w:id="1443721206">
      <w:bodyDiv w:val="1"/>
      <w:marLeft w:val="0"/>
      <w:marRight w:val="0"/>
      <w:marTop w:val="0"/>
      <w:marBottom w:val="0"/>
      <w:divBdr>
        <w:top w:val="none" w:sz="0" w:space="0" w:color="auto"/>
        <w:left w:val="none" w:sz="0" w:space="0" w:color="auto"/>
        <w:bottom w:val="none" w:sz="0" w:space="0" w:color="auto"/>
        <w:right w:val="none" w:sz="0" w:space="0" w:color="auto"/>
      </w:divBdr>
    </w:div>
    <w:div w:id="1520198014">
      <w:bodyDiv w:val="1"/>
      <w:marLeft w:val="0"/>
      <w:marRight w:val="0"/>
      <w:marTop w:val="0"/>
      <w:marBottom w:val="0"/>
      <w:divBdr>
        <w:top w:val="none" w:sz="0" w:space="0" w:color="auto"/>
        <w:left w:val="none" w:sz="0" w:space="0" w:color="auto"/>
        <w:bottom w:val="none" w:sz="0" w:space="0" w:color="auto"/>
        <w:right w:val="none" w:sz="0" w:space="0" w:color="auto"/>
      </w:divBdr>
    </w:div>
    <w:div w:id="158290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Dproxyadvice@treasury.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ian.matheson@aira.org.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89B96-5CF6-4D21-9A1E-5E0241A6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2371</Words>
  <Characters>13518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dc:creator>
  <cp:lastModifiedBy>Olga Smejkalova</cp:lastModifiedBy>
  <cp:revision>10</cp:revision>
  <cp:lastPrinted>2021-05-31T02:52:00Z</cp:lastPrinted>
  <dcterms:created xsi:type="dcterms:W3CDTF">2021-05-31T00:53:00Z</dcterms:created>
  <dcterms:modified xsi:type="dcterms:W3CDTF">2021-05-31T05:57:00Z</dcterms:modified>
</cp:coreProperties>
</file>